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A957A4">
      <w:pPr>
        <w:widowControl w:val="0"/>
        <w:autoSpaceDE w:val="0"/>
        <w:autoSpaceDN w:val="0"/>
        <w:spacing w:before="100" w:beforeAutospacing="1" w:after="100" w:afterAutospacing="1"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           </w:t>
      </w:r>
      <w:bookmarkStart w:id="0" w:name="_Hlk163541405"/>
      <w:r>
        <w:rPr>
          <w:rFonts w:ascii="Times New Roman" w:hAnsi="Times New Roman" w:eastAsia="Times New Roman" w:cs="Times New Roman"/>
          <w:sz w:val="28"/>
          <w:szCs w:val="28"/>
          <w:lang w:eastAsia="ru-RU"/>
        </w:rPr>
        <w:t>«ҚАРАҒАНДЫ</w:t>
      </w:r>
      <w:bookmarkEnd w:id="0"/>
      <w:r>
        <w:rPr>
          <w:rFonts w:ascii="Times New Roman" w:hAnsi="Times New Roman" w:eastAsia="Times New Roman" w:cs="Times New Roman"/>
          <w:sz w:val="28"/>
          <w:szCs w:val="28"/>
          <w:lang w:eastAsia="ru-RU"/>
        </w:rPr>
        <w:t xml:space="preserve"> МЕДИЦИНА УНИВЕРСИТЕТІ» КеАҚ</w:t>
      </w:r>
    </w:p>
    <w:p w14:paraId="7B93DB4F">
      <w:pPr>
        <w:widowControl w:val="0"/>
        <w:autoSpaceDE w:val="0"/>
        <w:autoSpaceDN w:val="0"/>
        <w:spacing w:before="100" w:beforeAutospacing="1" w:after="100" w:afterAutospacing="1"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 </w:t>
      </w:r>
    </w:p>
    <w:p w14:paraId="72515065">
      <w:pPr>
        <w:widowControl w:val="0"/>
        <w:autoSpaceDE w:val="0"/>
        <w:autoSpaceDN w:val="0"/>
        <w:spacing w:before="100" w:beforeAutospacing="1" w:after="100" w:afterAutospacing="1" w:line="276" w:lineRule="auto"/>
        <w:ind w:firstLine="709"/>
        <w:jc w:val="both"/>
        <w:outlineLvl w:val="0"/>
        <w:rPr>
          <w:rFonts w:ascii="Times New Roman" w:hAnsi="Times New Roman" w:eastAsia="Times New Roman" w:cs="Times New Roman"/>
          <w:b/>
          <w:bCs/>
          <w:kern w:val="36"/>
          <w:sz w:val="28"/>
          <w:szCs w:val="28"/>
          <w:lang w:eastAsia="ru-RU"/>
        </w:rPr>
      </w:pPr>
      <w:r>
        <w:rPr>
          <w:rFonts w:ascii="Times New Roman" w:hAnsi="Times New Roman" w:eastAsia="Times New Roman" w:cs="Times New Roman"/>
          <w:b/>
          <w:bCs/>
          <w:kern w:val="36"/>
          <w:sz w:val="28"/>
          <w:szCs w:val="28"/>
          <w:lang w:eastAsia="ru-RU"/>
        </w:rPr>
        <w:t xml:space="preserve">ӘОЖ: 618.2–06:616–056.52:616.155.194–07–085  қолжазба құқығында                   </w:t>
      </w:r>
    </w:p>
    <w:p w14:paraId="3486313F">
      <w:pPr>
        <w:widowControl w:val="0"/>
        <w:autoSpaceDE w:val="0"/>
        <w:autoSpaceDN w:val="0"/>
        <w:spacing w:before="100" w:beforeAutospacing="1" w:after="100" w:afterAutospacing="1" w:line="276" w:lineRule="auto"/>
        <w:ind w:firstLine="709"/>
        <w:jc w:val="both"/>
        <w:outlineLvl w:val="0"/>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eastAsia="ru-RU"/>
        </w:rPr>
        <w:t xml:space="preserve"> </w:t>
      </w:r>
    </w:p>
    <w:p w14:paraId="1B1C0FC9">
      <w:pPr>
        <w:widowControl w:val="0"/>
        <w:autoSpaceDE w:val="0"/>
        <w:autoSpaceDN w:val="0"/>
        <w:spacing w:before="100" w:beforeAutospacing="1" w:after="100" w:afterAutospacing="1" w:line="276" w:lineRule="auto"/>
        <w:ind w:firstLine="709"/>
        <w:jc w:val="both"/>
        <w:outlineLvl w:val="0"/>
        <w:rPr>
          <w:rFonts w:ascii="Times New Roman" w:hAnsi="Times New Roman" w:eastAsia="Times New Roman" w:cs="Times New Roman"/>
          <w:b/>
          <w:sz w:val="28"/>
          <w:szCs w:val="28"/>
          <w:lang w:eastAsia="ru-RU"/>
        </w:rPr>
      </w:pPr>
    </w:p>
    <w:p w14:paraId="1E9659F4">
      <w:pPr>
        <w:widowControl w:val="0"/>
        <w:autoSpaceDE w:val="0"/>
        <w:autoSpaceDN w:val="0"/>
        <w:spacing w:before="100" w:beforeAutospacing="1" w:after="100" w:afterAutospacing="1" w:line="276" w:lineRule="auto"/>
        <w:ind w:firstLine="709"/>
        <w:jc w:val="both"/>
        <w:outlineLvl w:val="0"/>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eastAsia="ru-RU"/>
        </w:rPr>
        <w:t xml:space="preserve">                                   РҮСТЕМБЕКҚЫЗЫ ЖАНСАЯ</w:t>
      </w:r>
    </w:p>
    <w:p w14:paraId="0905A782">
      <w:pPr>
        <w:widowControl w:val="0"/>
        <w:autoSpaceDE w:val="0"/>
        <w:autoSpaceDN w:val="0"/>
        <w:spacing w:before="100" w:beforeAutospacing="1" w:after="100" w:afterAutospacing="1" w:line="276" w:lineRule="auto"/>
        <w:ind w:firstLine="709"/>
        <w:jc w:val="center"/>
        <w:outlineLvl w:val="0"/>
        <w:rPr>
          <w:rFonts w:ascii="Times New Roman" w:hAnsi="Times New Roman" w:eastAsia="Times New Roman" w:cs="Times New Roman"/>
          <w:b/>
          <w:bCs/>
          <w:kern w:val="36"/>
          <w:sz w:val="28"/>
          <w:szCs w:val="28"/>
          <w:lang w:eastAsia="ru-RU"/>
        </w:rPr>
      </w:pPr>
      <w:bookmarkStart w:id="1" w:name="_Hlk164594377"/>
      <w:bookmarkEnd w:id="1"/>
      <w:r>
        <w:rPr>
          <w:rFonts w:ascii="Times New Roman" w:hAnsi="Times New Roman" w:eastAsia="Times New Roman" w:cs="Times New Roman"/>
          <w:b/>
          <w:bCs/>
          <w:kern w:val="36"/>
          <w:sz w:val="28"/>
          <w:szCs w:val="28"/>
          <w:lang w:eastAsia="ru-RU"/>
        </w:rPr>
        <w:t>Жүктілік алдындағы семіздікпен ауыратын жүкті әйелдерде қабыну медиаторлары мен темір алмасуының молекул</w:t>
      </w:r>
      <w:r>
        <w:rPr>
          <w:rFonts w:ascii="Times New Roman" w:hAnsi="Times New Roman" w:eastAsia="Times New Roman" w:cs="Times New Roman"/>
          <w:b/>
          <w:bCs/>
          <w:kern w:val="36"/>
          <w:sz w:val="28"/>
          <w:szCs w:val="28"/>
          <w:lang w:val="kk-KZ" w:eastAsia="ru-RU"/>
        </w:rPr>
        <w:t>а</w:t>
      </w:r>
      <w:r>
        <w:rPr>
          <w:rFonts w:ascii="Times New Roman" w:hAnsi="Times New Roman" w:eastAsia="Times New Roman" w:cs="Times New Roman"/>
          <w:b/>
          <w:bCs/>
          <w:kern w:val="36"/>
          <w:sz w:val="28"/>
          <w:szCs w:val="28"/>
          <w:lang w:eastAsia="ru-RU"/>
        </w:rPr>
        <w:t>лық маркерлерінің қауымдастығы</w:t>
      </w:r>
    </w:p>
    <w:p w14:paraId="38F7CCBE">
      <w:pPr>
        <w:widowControl w:val="0"/>
        <w:autoSpaceDE w:val="0"/>
        <w:autoSpaceDN w:val="0"/>
        <w:spacing w:before="100" w:beforeAutospacing="1" w:after="100" w:afterAutospacing="1" w:line="276" w:lineRule="auto"/>
        <w:ind w:firstLine="709"/>
        <w:outlineLvl w:val="0"/>
        <w:rPr>
          <w:rFonts w:ascii="Times New Roman" w:hAnsi="Times New Roman" w:eastAsia="Times New Roman" w:cs="Times New Roman"/>
          <w:bCs/>
          <w:kern w:val="36"/>
          <w:sz w:val="28"/>
          <w:szCs w:val="28"/>
          <w:lang w:eastAsia="ru-RU"/>
        </w:rPr>
      </w:pPr>
      <w:r>
        <w:rPr>
          <w:rFonts w:ascii="Times New Roman" w:hAnsi="Times New Roman" w:eastAsia="Times New Roman" w:cs="Times New Roman"/>
          <w:bCs/>
          <w:kern w:val="36"/>
          <w:sz w:val="28"/>
          <w:szCs w:val="28"/>
          <w:lang w:val="en-US" w:eastAsia="ru-RU"/>
        </w:rPr>
        <w:t xml:space="preserve">                                       </w:t>
      </w:r>
      <w:r>
        <w:rPr>
          <w:rFonts w:ascii="Times New Roman" w:hAnsi="Times New Roman" w:eastAsia="Times New Roman" w:cs="Times New Roman"/>
          <w:bCs/>
          <w:kern w:val="36"/>
          <w:sz w:val="28"/>
          <w:szCs w:val="28"/>
          <w:lang w:eastAsia="ru-RU"/>
        </w:rPr>
        <w:t>8D10100 – Медицина</w:t>
      </w:r>
    </w:p>
    <w:p w14:paraId="15765670">
      <w:pPr>
        <w:widowControl w:val="0"/>
        <w:autoSpaceDE w:val="0"/>
        <w:autoSpaceDN w:val="0"/>
        <w:spacing w:before="100" w:beforeAutospacing="1" w:after="100" w:afterAutospacing="1" w:line="276" w:lineRule="auto"/>
        <w:ind w:firstLine="709"/>
        <w:jc w:val="center"/>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Филосовфия докторы (РhD) академиялық дәрежесін алуға арналған диссертация</w:t>
      </w:r>
      <w:bookmarkStart w:id="8" w:name="_GoBack"/>
      <w:bookmarkEnd w:id="8"/>
    </w:p>
    <w:p w14:paraId="77DED01D">
      <w:pPr>
        <w:widowControl w:val="0"/>
        <w:autoSpaceDE w:val="0"/>
        <w:autoSpaceDN w:val="0"/>
        <w:spacing w:before="100" w:beforeAutospacing="1" w:after="100" w:afterAutospacing="1"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  </w:t>
      </w:r>
    </w:p>
    <w:p w14:paraId="39E2E90A">
      <w:pPr>
        <w:widowControl w:val="0"/>
        <w:autoSpaceDE w:val="0"/>
        <w:autoSpaceDN w:val="0"/>
        <w:spacing w:after="0" w:line="300" w:lineRule="auto"/>
        <w:ind w:firstLine="709"/>
        <w:jc w:val="right"/>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Ғылыми жетекшілер: Тайжанова Дана Жумагалиевна,</w:t>
      </w:r>
      <w:r>
        <w:rPr>
          <w:rFonts w:ascii="Times New Roman" w:hAnsi="Times New Roman" w:eastAsia="Times New Roman" w:cs="Times New Roman"/>
          <w:sz w:val="28"/>
          <w:szCs w:val="28"/>
          <w:lang w:val="kk-KZ" w:eastAsia="ru-RU"/>
        </w:rPr>
        <w:t xml:space="preserve"> </w:t>
      </w:r>
      <w:r>
        <w:rPr>
          <w:rFonts w:ascii="Times New Roman" w:hAnsi="Times New Roman" w:eastAsia="Times New Roman" w:cs="Times New Roman"/>
          <w:sz w:val="28"/>
          <w:szCs w:val="28"/>
          <w:lang w:eastAsia="ru-RU"/>
        </w:rPr>
        <w:t>м.ғ.д</w:t>
      </w:r>
    </w:p>
    <w:p w14:paraId="5112EBE4">
      <w:pPr>
        <w:widowControl w:val="0"/>
        <w:autoSpaceDE w:val="0"/>
        <w:autoSpaceDN w:val="0"/>
        <w:spacing w:after="0" w:line="300" w:lineRule="auto"/>
        <w:ind w:firstLine="709"/>
        <w:jc w:val="right"/>
        <w:outlineLvl w:val="0"/>
        <w:rPr>
          <w:rFonts w:ascii="Times New Roman" w:hAnsi="Times New Roman" w:eastAsia="Times New Roman" w:cs="Times New Roman"/>
          <w:sz w:val="28"/>
          <w:szCs w:val="28"/>
          <w:lang w:val="kk-KZ" w:eastAsia="ru-RU"/>
        </w:rPr>
      </w:pPr>
      <w:r>
        <w:rPr>
          <w:rFonts w:ascii="Times New Roman" w:hAnsi="Times New Roman" w:eastAsia="Times New Roman" w:cs="Times New Roman"/>
          <w:sz w:val="28"/>
          <w:szCs w:val="28"/>
          <w:lang w:val="kk-KZ" w:eastAsia="ru-RU"/>
        </w:rPr>
        <w:t>«ҚМУ»</w:t>
      </w:r>
      <w:r>
        <w:rPr>
          <w:rFonts w:ascii="Times New Roman" w:hAnsi="Times New Roman" w:eastAsia="Times New Roman" w:cs="Times New Roman"/>
          <w:sz w:val="28"/>
          <w:szCs w:val="28"/>
          <w:lang w:eastAsia="ru-RU"/>
        </w:rPr>
        <w:t xml:space="preserve"> </w:t>
      </w:r>
      <w:r>
        <w:rPr>
          <w:rFonts w:ascii="Times New Roman" w:hAnsi="Times New Roman" w:eastAsia="Times New Roman" w:cs="Times New Roman"/>
          <w:sz w:val="28"/>
          <w:szCs w:val="28"/>
          <w:lang w:val="kk-KZ" w:eastAsia="ru-RU"/>
        </w:rPr>
        <w:t>КеАҚ</w:t>
      </w:r>
      <w:r>
        <w:rPr>
          <w:rFonts w:ascii="Times New Roman" w:hAnsi="Times New Roman" w:eastAsia="Times New Roman" w:cs="Times New Roman"/>
          <w:sz w:val="28"/>
          <w:szCs w:val="28"/>
          <w:lang w:eastAsia="ru-RU"/>
        </w:rPr>
        <w:t xml:space="preserve">  </w:t>
      </w:r>
      <w:r>
        <w:rPr>
          <w:rFonts w:ascii="Times New Roman" w:hAnsi="Times New Roman" w:eastAsia="Times New Roman" w:cs="Times New Roman"/>
          <w:sz w:val="28"/>
          <w:szCs w:val="28"/>
          <w:lang w:val="kk-KZ" w:eastAsia="ru-RU"/>
        </w:rPr>
        <w:t>ішкі аурулар кафедрасының</w:t>
      </w:r>
      <w:r>
        <w:rPr>
          <w:rFonts w:ascii="Times New Roman" w:hAnsi="Times New Roman" w:eastAsia="Times New Roman" w:cs="Times New Roman"/>
          <w:sz w:val="28"/>
          <w:szCs w:val="28"/>
          <w:lang w:eastAsia="ru-RU"/>
        </w:rPr>
        <w:t xml:space="preserve"> профессор</w:t>
      </w:r>
      <w:r>
        <w:rPr>
          <w:rFonts w:ascii="Times New Roman" w:hAnsi="Times New Roman" w:eastAsia="Times New Roman" w:cs="Times New Roman"/>
          <w:sz w:val="28"/>
          <w:szCs w:val="28"/>
          <w:lang w:val="kk-KZ" w:eastAsia="ru-RU"/>
        </w:rPr>
        <w:t xml:space="preserve">ы, </w:t>
      </w:r>
    </w:p>
    <w:p w14:paraId="5DF059B3">
      <w:pPr>
        <w:widowControl w:val="0"/>
        <w:autoSpaceDE w:val="0"/>
        <w:autoSpaceDN w:val="0"/>
        <w:spacing w:after="0" w:line="300" w:lineRule="auto"/>
        <w:ind w:firstLine="709"/>
        <w:jc w:val="right"/>
        <w:outlineLvl w:val="0"/>
        <w:rPr>
          <w:rFonts w:ascii="Times New Roman" w:hAnsi="Times New Roman" w:eastAsia="Times New Roman" w:cs="Times New Roman"/>
          <w:sz w:val="28"/>
          <w:szCs w:val="28"/>
          <w:lang w:val="kk-KZ" w:eastAsia="ru-RU"/>
        </w:rPr>
      </w:pPr>
      <w:r>
        <w:rPr>
          <w:rFonts w:ascii="Times New Roman" w:hAnsi="Times New Roman" w:eastAsia="Times New Roman" w:cs="Times New Roman"/>
          <w:sz w:val="28"/>
          <w:szCs w:val="28"/>
          <w:lang w:val="kk-KZ" w:eastAsia="ru-RU"/>
        </w:rPr>
        <w:t>Қарағанды қ., Қазақстан</w:t>
      </w:r>
    </w:p>
    <w:p w14:paraId="68AE19FE">
      <w:pPr>
        <w:widowControl w:val="0"/>
        <w:autoSpaceDE w:val="0"/>
        <w:autoSpaceDN w:val="0"/>
        <w:spacing w:after="0" w:line="300" w:lineRule="auto"/>
        <w:ind w:firstLine="709"/>
        <w:jc w:val="right"/>
        <w:outlineLvl w:val="0"/>
        <w:rPr>
          <w:rFonts w:ascii="Times New Roman" w:hAnsi="Times New Roman" w:cs="Times New Roman"/>
          <w:sz w:val="28"/>
          <w:szCs w:val="28"/>
          <w:lang w:val="kk-KZ"/>
        </w:rPr>
      </w:pPr>
      <w:r>
        <w:rPr>
          <w:rFonts w:ascii="Times New Roman" w:hAnsi="Times New Roman" w:eastAsia="Times New Roman" w:cs="Times New Roman"/>
          <w:sz w:val="28"/>
          <w:szCs w:val="28"/>
          <w:lang w:val="kk-KZ" w:eastAsia="ru-RU"/>
        </w:rPr>
        <w:t xml:space="preserve">Комличенко Эдуард Владимирович, </w:t>
      </w:r>
      <w:r>
        <w:rPr>
          <w:rFonts w:ascii="Times New Roman" w:hAnsi="Times New Roman" w:cs="Times New Roman"/>
          <w:sz w:val="28"/>
          <w:szCs w:val="28"/>
          <w:lang w:val="kk-KZ"/>
        </w:rPr>
        <w:t xml:space="preserve">м.ғ.д., Медициналық білім беру институтының денсаулық сақтауды ұйымдастыру және қоғамдық денсаулық кафедрасының профессоры, Санкт-Петербург мемлекеттік университетінің акушерлік, гинекология және репродуктология кафедрасының доценті, </w:t>
      </w:r>
    </w:p>
    <w:p w14:paraId="7A2809AD">
      <w:pPr>
        <w:widowControl w:val="0"/>
        <w:autoSpaceDE w:val="0"/>
        <w:autoSpaceDN w:val="0"/>
        <w:spacing w:after="0" w:line="300" w:lineRule="auto"/>
        <w:ind w:firstLine="709"/>
        <w:jc w:val="right"/>
        <w:outlineLvl w:val="0"/>
        <w:rPr>
          <w:rFonts w:ascii="Times New Roman" w:hAnsi="Times New Roman" w:eastAsia="Times New Roman" w:cs="Times New Roman"/>
          <w:sz w:val="28"/>
          <w:szCs w:val="28"/>
          <w:lang w:val="kk-KZ" w:eastAsia="ru-RU"/>
        </w:rPr>
      </w:pPr>
      <w:r>
        <w:rPr>
          <w:rFonts w:ascii="Times New Roman" w:hAnsi="Times New Roman" w:cs="Times New Roman"/>
          <w:sz w:val="28"/>
          <w:szCs w:val="28"/>
          <w:lang w:val="kk-KZ"/>
        </w:rPr>
        <w:t>Санкт-Петербург қ., Ресей Федерациясы</w:t>
      </w:r>
    </w:p>
    <w:p w14:paraId="6D081AF8">
      <w:pPr>
        <w:widowControl w:val="0"/>
        <w:autoSpaceDE w:val="0"/>
        <w:autoSpaceDN w:val="0"/>
        <w:spacing w:after="0" w:line="240" w:lineRule="auto"/>
        <w:ind w:firstLine="709"/>
        <w:jc w:val="both"/>
        <w:outlineLvl w:val="0"/>
        <w:rPr>
          <w:rFonts w:ascii="Times New Roman" w:hAnsi="Times New Roman" w:eastAsia="Times New Roman" w:cs="Times New Roman"/>
          <w:sz w:val="28"/>
          <w:szCs w:val="28"/>
          <w:lang w:val="kk-KZ" w:eastAsia="ru-RU"/>
        </w:rPr>
      </w:pPr>
    </w:p>
    <w:p w14:paraId="6AFF964D">
      <w:pPr>
        <w:widowControl w:val="0"/>
        <w:autoSpaceDE w:val="0"/>
        <w:autoSpaceDN w:val="0"/>
        <w:spacing w:after="0" w:line="240" w:lineRule="auto"/>
        <w:ind w:firstLine="709"/>
        <w:jc w:val="both"/>
        <w:outlineLvl w:val="0"/>
        <w:rPr>
          <w:rFonts w:ascii="Times New Roman" w:hAnsi="Times New Roman" w:eastAsia="Times New Roman" w:cs="Times New Roman"/>
          <w:sz w:val="28"/>
          <w:szCs w:val="28"/>
          <w:lang w:val="kk-KZ" w:eastAsia="ru-RU"/>
        </w:rPr>
      </w:pPr>
    </w:p>
    <w:p w14:paraId="6A35EBB3">
      <w:pPr>
        <w:widowControl w:val="0"/>
        <w:autoSpaceDE w:val="0"/>
        <w:autoSpaceDN w:val="0"/>
        <w:spacing w:after="0" w:line="240" w:lineRule="auto"/>
        <w:ind w:firstLine="709"/>
        <w:jc w:val="both"/>
        <w:outlineLvl w:val="0"/>
        <w:rPr>
          <w:rFonts w:ascii="Times New Roman" w:hAnsi="Times New Roman" w:eastAsia="Times New Roman" w:cs="Times New Roman"/>
          <w:sz w:val="28"/>
          <w:szCs w:val="28"/>
          <w:lang w:val="kk-KZ" w:eastAsia="ru-RU"/>
        </w:rPr>
      </w:pPr>
    </w:p>
    <w:p w14:paraId="31A0293D">
      <w:pPr>
        <w:widowControl w:val="0"/>
        <w:autoSpaceDE w:val="0"/>
        <w:autoSpaceDN w:val="0"/>
        <w:spacing w:after="0" w:line="240" w:lineRule="auto"/>
        <w:ind w:firstLine="709"/>
        <w:jc w:val="both"/>
        <w:outlineLvl w:val="0"/>
        <w:rPr>
          <w:rFonts w:ascii="Times New Roman" w:hAnsi="Times New Roman" w:eastAsia="Times New Roman" w:cs="Times New Roman"/>
          <w:sz w:val="28"/>
          <w:szCs w:val="28"/>
          <w:lang w:val="kk-KZ" w:eastAsia="ru-RU"/>
        </w:rPr>
      </w:pPr>
    </w:p>
    <w:p w14:paraId="685AE29F">
      <w:pPr>
        <w:widowControl w:val="0"/>
        <w:autoSpaceDE w:val="0"/>
        <w:autoSpaceDN w:val="0"/>
        <w:spacing w:after="0" w:line="240" w:lineRule="auto"/>
        <w:ind w:firstLine="709"/>
        <w:jc w:val="both"/>
        <w:outlineLvl w:val="0"/>
        <w:rPr>
          <w:rFonts w:ascii="Times New Roman" w:hAnsi="Times New Roman" w:eastAsia="Times New Roman" w:cs="Times New Roman"/>
          <w:sz w:val="28"/>
          <w:szCs w:val="28"/>
          <w:lang w:val="kk-KZ" w:eastAsia="ru-RU"/>
        </w:rPr>
      </w:pPr>
    </w:p>
    <w:p w14:paraId="01B4E953">
      <w:pPr>
        <w:widowControl w:val="0"/>
        <w:autoSpaceDE w:val="0"/>
        <w:autoSpaceDN w:val="0"/>
        <w:spacing w:before="100" w:beforeAutospacing="1" w:after="100" w:afterAutospacing="1" w:line="276" w:lineRule="auto"/>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val="kk-KZ" w:eastAsia="ru-RU"/>
        </w:rPr>
        <w:t xml:space="preserve">                         </w:t>
      </w:r>
      <w:r>
        <w:rPr>
          <w:rFonts w:ascii="Times New Roman" w:hAnsi="Times New Roman" w:eastAsia="Times New Roman" w:cs="Times New Roman"/>
          <w:sz w:val="28"/>
          <w:szCs w:val="28"/>
          <w:lang w:eastAsia="ru-RU"/>
        </w:rPr>
        <w:t>Қазақстан Республикасы Қарағанды, 2025ж</w:t>
      </w:r>
    </w:p>
    <w:p w14:paraId="1467B66C">
      <w:pPr>
        <w:spacing w:before="100" w:beforeAutospacing="1" w:after="100" w:afterAutospacing="1" w:line="276" w:lineRule="auto"/>
        <w:ind w:firstLine="709"/>
        <w:jc w:val="both"/>
        <w:outlineLvl w:val="0"/>
        <w:rPr>
          <w:rFonts w:ascii="Times New Roman" w:hAnsi="Times New Roman" w:eastAsia="Times New Roman" w:cs="Times New Roman"/>
          <w:sz w:val="28"/>
          <w:szCs w:val="28"/>
          <w:lang w:eastAsia="ru-RU"/>
        </w:rPr>
        <w:sectPr>
          <w:footerReference r:id="rId5" w:type="default"/>
          <w:pgSz w:w="12240" w:h="15840"/>
          <w:pgMar w:top="1134" w:right="850" w:bottom="1134" w:left="1701" w:header="720" w:footer="720" w:gutter="0"/>
          <w:cols w:space="720" w:num="1"/>
        </w:sectPr>
      </w:pPr>
    </w:p>
    <w:tbl>
      <w:tblPr>
        <w:tblStyle w:val="22"/>
        <w:tblW w:w="9862" w:type="dxa"/>
        <w:tblInd w:w="0" w:type="dxa"/>
        <w:tblLayout w:type="fixed"/>
        <w:tblCellMar>
          <w:top w:w="15" w:type="dxa"/>
          <w:left w:w="15" w:type="dxa"/>
          <w:bottom w:w="15" w:type="dxa"/>
          <w:right w:w="15" w:type="dxa"/>
        </w:tblCellMar>
      </w:tblPr>
      <w:tblGrid>
        <w:gridCol w:w="900"/>
        <w:gridCol w:w="8167"/>
        <w:gridCol w:w="795"/>
      </w:tblGrid>
      <w:tr w14:paraId="7B2C6EE7">
        <w:tblPrEx>
          <w:tblCellMar>
            <w:top w:w="15" w:type="dxa"/>
            <w:left w:w="15" w:type="dxa"/>
            <w:bottom w:w="15" w:type="dxa"/>
            <w:right w:w="15" w:type="dxa"/>
          </w:tblCellMar>
        </w:tblPrEx>
        <w:trPr>
          <w:trHeight w:val="430" w:hRule="atLeast"/>
        </w:trPr>
        <w:tc>
          <w:tcPr>
            <w:tcW w:w="900" w:type="dxa"/>
          </w:tcPr>
          <w:p w14:paraId="69CE1996">
            <w:pPr>
              <w:widowControl w:val="0"/>
              <w:autoSpaceDE w:val="0"/>
              <w:autoSpaceDN w:val="0"/>
              <w:spacing w:before="100" w:beforeAutospacing="1" w:after="100" w:afterAutospacing="1" w:line="276" w:lineRule="auto"/>
              <w:jc w:val="both"/>
              <w:outlineLvl w:val="0"/>
              <w:rPr>
                <w:rFonts w:ascii="Times New Roman" w:hAnsi="Times New Roman" w:eastAsia="Times New Roman" w:cs="Times New Roman"/>
                <w:b/>
                <w:bCs/>
                <w:sz w:val="28"/>
                <w:szCs w:val="28"/>
                <w:lang w:val="en-US" w:eastAsia="ru-RU"/>
              </w:rPr>
            </w:pPr>
          </w:p>
        </w:tc>
        <w:tc>
          <w:tcPr>
            <w:tcW w:w="8167" w:type="dxa"/>
          </w:tcPr>
          <w:p w14:paraId="22B883DC">
            <w:pPr>
              <w:widowControl w:val="0"/>
              <w:autoSpaceDE w:val="0"/>
              <w:autoSpaceDN w:val="0"/>
              <w:spacing w:before="100" w:beforeAutospacing="1" w:after="100" w:afterAutospacing="1" w:line="276" w:lineRule="auto"/>
              <w:jc w:val="both"/>
              <w:outlineLvl w:val="0"/>
              <w:rPr>
                <w:rFonts w:ascii="Times New Roman" w:hAnsi="Times New Roman" w:eastAsia="Times New Roman" w:cs="Times New Roman"/>
                <w:b/>
                <w:bCs/>
                <w:sz w:val="28"/>
                <w:szCs w:val="28"/>
                <w:lang w:val="en-US" w:eastAsia="ru-RU"/>
              </w:rPr>
            </w:pPr>
            <w:r>
              <w:rPr>
                <w:rFonts w:ascii="Times New Roman" w:hAnsi="Times New Roman" w:eastAsia="Times New Roman" w:cs="Times New Roman"/>
                <w:b/>
                <w:bCs/>
                <w:sz w:val="28"/>
                <w:szCs w:val="28"/>
                <w:lang w:val="en-US" w:eastAsia="ru-RU"/>
              </w:rPr>
              <w:t>МАЗМҰНЫ</w:t>
            </w:r>
          </w:p>
        </w:tc>
        <w:tc>
          <w:tcPr>
            <w:tcW w:w="795" w:type="dxa"/>
          </w:tcPr>
          <w:p w14:paraId="1BA745C6">
            <w:pPr>
              <w:widowControl w:val="0"/>
              <w:autoSpaceDE w:val="0"/>
              <w:autoSpaceDN w:val="0"/>
              <w:spacing w:before="100" w:beforeAutospacing="1" w:after="100" w:afterAutospacing="1" w:line="276" w:lineRule="auto"/>
              <w:jc w:val="both"/>
              <w:outlineLvl w:val="0"/>
              <w:rPr>
                <w:rFonts w:ascii="Times New Roman" w:hAnsi="Times New Roman" w:eastAsia="Times New Roman" w:cs="Times New Roman"/>
                <w:sz w:val="28"/>
                <w:szCs w:val="28"/>
                <w:lang w:val="en-US" w:eastAsia="ru-RU"/>
              </w:rPr>
            </w:pPr>
          </w:p>
        </w:tc>
      </w:tr>
      <w:tr w14:paraId="39A42965">
        <w:tblPrEx>
          <w:tblCellMar>
            <w:top w:w="15" w:type="dxa"/>
            <w:left w:w="15" w:type="dxa"/>
            <w:bottom w:w="15" w:type="dxa"/>
            <w:right w:w="15" w:type="dxa"/>
          </w:tblCellMar>
        </w:tblPrEx>
        <w:tc>
          <w:tcPr>
            <w:tcW w:w="9067" w:type="dxa"/>
            <w:gridSpan w:val="2"/>
          </w:tcPr>
          <w:p w14:paraId="72A79A09">
            <w:pPr>
              <w:widowControl w:val="0"/>
              <w:autoSpaceDE w:val="0"/>
              <w:autoSpaceDN w:val="0"/>
              <w:spacing w:before="100" w:beforeAutospacing="1" w:after="100" w:afterAutospacing="1" w:line="276" w:lineRule="auto"/>
              <w:jc w:val="both"/>
              <w:outlineLvl w:val="0"/>
              <w:rPr>
                <w:rFonts w:ascii="Times New Roman" w:hAnsi="Times New Roman" w:eastAsia="Times New Roman" w:cs="Times New Roman"/>
                <w:b/>
                <w:bCs/>
                <w:sz w:val="28"/>
                <w:szCs w:val="28"/>
                <w:lang w:val="en-US" w:eastAsia="ru-RU"/>
              </w:rPr>
            </w:pPr>
            <w:r>
              <w:rPr>
                <w:rFonts w:ascii="Times New Roman" w:hAnsi="Times New Roman" w:eastAsia="Times New Roman" w:cs="Times New Roman"/>
                <w:b/>
                <w:bCs/>
                <w:sz w:val="28"/>
                <w:szCs w:val="28"/>
                <w:lang w:val="en-US" w:eastAsia="ru-RU"/>
              </w:rPr>
              <w:t>НОРМАТИВТІ СІЛТЕМЕЛЕР</w:t>
            </w:r>
          </w:p>
        </w:tc>
        <w:tc>
          <w:tcPr>
            <w:tcW w:w="795" w:type="dxa"/>
            <w:shd w:val="clear" w:color="auto" w:fill="FFFFFF" w:themeFill="background1"/>
          </w:tcPr>
          <w:p w14:paraId="22CD50DE">
            <w:pPr>
              <w:widowControl w:val="0"/>
              <w:autoSpaceDE w:val="0"/>
              <w:autoSpaceDN w:val="0"/>
              <w:spacing w:before="100" w:beforeAutospacing="1" w:after="100" w:afterAutospacing="1" w:line="276" w:lineRule="auto"/>
              <w:jc w:val="both"/>
              <w:outlineLvl w:val="0"/>
              <w:rPr>
                <w:rFonts w:ascii="Times New Roman" w:hAnsi="Times New Roman" w:eastAsia="Times New Roman" w:cs="Times New Roman"/>
                <w:sz w:val="28"/>
                <w:szCs w:val="28"/>
                <w:lang w:val="kk-KZ" w:eastAsia="ru-RU"/>
              </w:rPr>
            </w:pPr>
            <w:r>
              <w:rPr>
                <w:rFonts w:ascii="Times New Roman" w:hAnsi="Times New Roman" w:eastAsia="Times New Roman" w:cs="Times New Roman"/>
                <w:sz w:val="28"/>
                <w:szCs w:val="28"/>
                <w:lang w:val="kk-KZ" w:eastAsia="ru-RU"/>
              </w:rPr>
              <w:t>5</w:t>
            </w:r>
          </w:p>
        </w:tc>
      </w:tr>
      <w:tr w14:paraId="07757E42">
        <w:tblPrEx>
          <w:tblCellMar>
            <w:top w:w="15" w:type="dxa"/>
            <w:left w:w="15" w:type="dxa"/>
            <w:bottom w:w="15" w:type="dxa"/>
            <w:right w:w="15" w:type="dxa"/>
          </w:tblCellMar>
        </w:tblPrEx>
        <w:tc>
          <w:tcPr>
            <w:tcW w:w="9067" w:type="dxa"/>
            <w:gridSpan w:val="2"/>
          </w:tcPr>
          <w:p w14:paraId="69D4CBE0">
            <w:pPr>
              <w:widowControl w:val="0"/>
              <w:autoSpaceDE w:val="0"/>
              <w:autoSpaceDN w:val="0"/>
              <w:spacing w:before="100" w:beforeAutospacing="1" w:after="100" w:afterAutospacing="1"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b/>
                <w:bCs/>
                <w:sz w:val="28"/>
                <w:szCs w:val="28"/>
                <w:lang w:val="en-US" w:eastAsia="ru-RU"/>
              </w:rPr>
              <w:t>ҚЫСҚАРТУЛАР ЖӘНЕ МАҒЫНАСЫ</w:t>
            </w:r>
          </w:p>
        </w:tc>
        <w:tc>
          <w:tcPr>
            <w:tcW w:w="795" w:type="dxa"/>
            <w:shd w:val="clear" w:color="auto" w:fill="FFFFFF" w:themeFill="background1"/>
          </w:tcPr>
          <w:p w14:paraId="239E3575">
            <w:pPr>
              <w:widowControl w:val="0"/>
              <w:autoSpaceDE w:val="0"/>
              <w:autoSpaceDN w:val="0"/>
              <w:spacing w:before="100" w:beforeAutospacing="1" w:after="100" w:afterAutospacing="1" w:line="276" w:lineRule="auto"/>
              <w:jc w:val="both"/>
              <w:outlineLvl w:val="0"/>
              <w:rPr>
                <w:rFonts w:ascii="Times New Roman" w:hAnsi="Times New Roman" w:eastAsia="Times New Roman" w:cs="Times New Roman"/>
                <w:sz w:val="28"/>
                <w:szCs w:val="28"/>
                <w:lang w:val="kk-KZ" w:eastAsia="ru-RU"/>
              </w:rPr>
            </w:pPr>
            <w:r>
              <w:rPr>
                <w:rFonts w:ascii="Times New Roman" w:hAnsi="Times New Roman" w:eastAsia="Times New Roman" w:cs="Times New Roman"/>
                <w:sz w:val="28"/>
                <w:szCs w:val="28"/>
                <w:lang w:val="kk-KZ" w:eastAsia="ru-RU"/>
              </w:rPr>
              <w:t>6</w:t>
            </w:r>
          </w:p>
        </w:tc>
      </w:tr>
      <w:tr w14:paraId="440F17F3">
        <w:tblPrEx>
          <w:tblCellMar>
            <w:top w:w="15" w:type="dxa"/>
            <w:left w:w="15" w:type="dxa"/>
            <w:bottom w:w="15" w:type="dxa"/>
            <w:right w:w="15" w:type="dxa"/>
          </w:tblCellMar>
        </w:tblPrEx>
        <w:tc>
          <w:tcPr>
            <w:tcW w:w="9067" w:type="dxa"/>
            <w:gridSpan w:val="2"/>
          </w:tcPr>
          <w:p w14:paraId="417958A8">
            <w:pPr>
              <w:widowControl w:val="0"/>
              <w:autoSpaceDE w:val="0"/>
              <w:autoSpaceDN w:val="0"/>
              <w:spacing w:before="100" w:beforeAutospacing="1" w:after="100" w:afterAutospacing="1" w:line="276" w:lineRule="auto"/>
              <w:jc w:val="both"/>
              <w:outlineLvl w:val="0"/>
              <w:rPr>
                <w:rFonts w:ascii="Times New Roman" w:hAnsi="Times New Roman" w:eastAsia="Times New Roman" w:cs="Times New Roman"/>
                <w:b/>
                <w:bCs/>
                <w:sz w:val="28"/>
                <w:szCs w:val="28"/>
                <w:lang w:val="en-US" w:eastAsia="ru-RU"/>
              </w:rPr>
            </w:pPr>
            <w:r>
              <w:rPr>
                <w:rFonts w:ascii="Times New Roman" w:hAnsi="Times New Roman" w:eastAsia="Times New Roman" w:cs="Times New Roman"/>
                <w:b/>
                <w:bCs/>
                <w:sz w:val="28"/>
                <w:szCs w:val="28"/>
                <w:lang w:val="en-US" w:eastAsia="ru-RU"/>
              </w:rPr>
              <w:t xml:space="preserve">КІРІСПЕ </w:t>
            </w:r>
          </w:p>
        </w:tc>
        <w:tc>
          <w:tcPr>
            <w:tcW w:w="795" w:type="dxa"/>
            <w:shd w:val="clear" w:color="auto" w:fill="FFFFFF" w:themeFill="background1"/>
          </w:tcPr>
          <w:p w14:paraId="674B0516">
            <w:pPr>
              <w:widowControl w:val="0"/>
              <w:autoSpaceDE w:val="0"/>
              <w:autoSpaceDN w:val="0"/>
              <w:spacing w:before="100" w:beforeAutospacing="1" w:after="100" w:afterAutospacing="1" w:line="276" w:lineRule="auto"/>
              <w:jc w:val="both"/>
              <w:outlineLvl w:val="0"/>
              <w:rPr>
                <w:rFonts w:ascii="Times New Roman" w:hAnsi="Times New Roman" w:eastAsia="Times New Roman" w:cs="Times New Roman"/>
                <w:sz w:val="28"/>
                <w:szCs w:val="28"/>
                <w:lang w:val="kk-KZ" w:eastAsia="ru-RU"/>
              </w:rPr>
            </w:pPr>
            <w:r>
              <w:rPr>
                <w:rFonts w:ascii="Times New Roman" w:hAnsi="Times New Roman" w:eastAsia="Times New Roman" w:cs="Times New Roman"/>
                <w:sz w:val="28"/>
                <w:szCs w:val="28"/>
                <w:lang w:val="kk-KZ" w:eastAsia="ru-RU"/>
              </w:rPr>
              <w:t>7</w:t>
            </w:r>
          </w:p>
        </w:tc>
      </w:tr>
      <w:tr w14:paraId="7A9FEF61">
        <w:tblPrEx>
          <w:tblCellMar>
            <w:top w:w="15" w:type="dxa"/>
            <w:left w:w="15" w:type="dxa"/>
            <w:bottom w:w="15" w:type="dxa"/>
            <w:right w:w="15" w:type="dxa"/>
          </w:tblCellMar>
        </w:tblPrEx>
        <w:tc>
          <w:tcPr>
            <w:tcW w:w="9067" w:type="dxa"/>
            <w:gridSpan w:val="2"/>
          </w:tcPr>
          <w:p w14:paraId="1216A1E4">
            <w:pPr>
              <w:widowControl w:val="0"/>
              <w:autoSpaceDE w:val="0"/>
              <w:autoSpaceDN w:val="0"/>
              <w:spacing w:after="0" w:line="276" w:lineRule="auto"/>
              <w:jc w:val="both"/>
              <w:outlineLvl w:val="0"/>
              <w:rPr>
                <w:rFonts w:ascii="Times New Roman" w:hAnsi="Times New Roman" w:eastAsia="Times New Roman" w:cs="Times New Roman"/>
                <w:b/>
                <w:bCs/>
                <w:sz w:val="28"/>
                <w:szCs w:val="28"/>
                <w:lang w:val="en-US" w:eastAsia="ru-RU"/>
              </w:rPr>
            </w:pPr>
            <w:r>
              <w:rPr>
                <w:rFonts w:ascii="Times New Roman" w:hAnsi="Times New Roman" w:eastAsia="Times New Roman" w:cs="Times New Roman"/>
                <w:b/>
                <w:bCs/>
                <w:sz w:val="28"/>
                <w:szCs w:val="28"/>
                <w:lang w:val="en-US" w:eastAsia="ru-RU"/>
              </w:rPr>
              <w:t>БӨЛІМ 1. Әдеби шолу</w:t>
            </w:r>
          </w:p>
        </w:tc>
        <w:tc>
          <w:tcPr>
            <w:tcW w:w="795" w:type="dxa"/>
            <w:shd w:val="clear" w:color="auto" w:fill="FFFFFF" w:themeFill="background1"/>
          </w:tcPr>
          <w:p w14:paraId="094D6ECA">
            <w:pPr>
              <w:widowControl w:val="0"/>
              <w:autoSpaceDE w:val="0"/>
              <w:autoSpaceDN w:val="0"/>
              <w:spacing w:after="0" w:line="276" w:lineRule="auto"/>
              <w:jc w:val="both"/>
              <w:outlineLvl w:val="0"/>
              <w:rPr>
                <w:rFonts w:ascii="Times New Roman" w:hAnsi="Times New Roman" w:eastAsia="Times New Roman" w:cs="Times New Roman"/>
                <w:sz w:val="28"/>
                <w:szCs w:val="28"/>
                <w:lang w:val="kk-KZ" w:eastAsia="ru-RU"/>
              </w:rPr>
            </w:pPr>
            <w:r>
              <w:rPr>
                <w:rFonts w:ascii="Times New Roman" w:hAnsi="Times New Roman" w:eastAsia="Times New Roman" w:cs="Times New Roman"/>
                <w:sz w:val="28"/>
                <w:szCs w:val="28"/>
                <w:lang w:val="en-US" w:eastAsia="ru-RU"/>
              </w:rPr>
              <w:t>1</w:t>
            </w:r>
            <w:r>
              <w:rPr>
                <w:rFonts w:ascii="Times New Roman" w:hAnsi="Times New Roman" w:eastAsia="Times New Roman" w:cs="Times New Roman"/>
                <w:sz w:val="28"/>
                <w:szCs w:val="28"/>
                <w:lang w:val="kk-KZ" w:eastAsia="ru-RU"/>
              </w:rPr>
              <w:t>3</w:t>
            </w:r>
          </w:p>
        </w:tc>
      </w:tr>
      <w:tr w14:paraId="1C2D21C9">
        <w:tblPrEx>
          <w:tblCellMar>
            <w:top w:w="15" w:type="dxa"/>
            <w:left w:w="15" w:type="dxa"/>
            <w:bottom w:w="15" w:type="dxa"/>
            <w:right w:w="15" w:type="dxa"/>
          </w:tblCellMar>
        </w:tblPrEx>
        <w:tc>
          <w:tcPr>
            <w:tcW w:w="900" w:type="dxa"/>
          </w:tcPr>
          <w:p w14:paraId="64AF5EB0">
            <w:pPr>
              <w:widowControl w:val="0"/>
              <w:autoSpaceDE w:val="0"/>
              <w:autoSpaceDN w:val="0"/>
              <w:spacing w:after="0" w:line="300" w:lineRule="auto"/>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1.1.</w:t>
            </w:r>
          </w:p>
        </w:tc>
        <w:tc>
          <w:tcPr>
            <w:tcW w:w="8167" w:type="dxa"/>
          </w:tcPr>
          <w:p w14:paraId="36D068EB">
            <w:pPr>
              <w:widowControl w:val="0"/>
              <w:autoSpaceDE w:val="0"/>
              <w:autoSpaceDN w:val="0"/>
              <w:spacing w:after="0" w:line="300" w:lineRule="auto"/>
              <w:outlineLvl w:val="0"/>
              <w:rPr>
                <w:rFonts w:ascii="Times New Roman" w:hAnsi="Times New Roman" w:eastAsia="Times New Roman" w:cs="Times New Roman"/>
                <w:sz w:val="28"/>
                <w:szCs w:val="28"/>
                <w:lang w:val="kk-KZ" w:eastAsia="ru-RU"/>
              </w:rPr>
            </w:pPr>
            <w:r>
              <w:rPr>
                <w:rFonts w:ascii="Times New Roman" w:hAnsi="Times New Roman" w:eastAsia="Times New Roman" w:cs="Times New Roman"/>
                <w:sz w:val="28"/>
                <w:szCs w:val="28"/>
                <w:lang w:val="en-US" w:eastAsia="ru-RU"/>
              </w:rPr>
              <w:t>Жүктілердегі анемия жайында негізгі түсініктер……………………</w:t>
            </w:r>
            <w:r>
              <w:rPr>
                <w:rFonts w:ascii="Times New Roman" w:hAnsi="Times New Roman" w:eastAsia="Times New Roman" w:cs="Times New Roman"/>
                <w:sz w:val="28"/>
                <w:szCs w:val="28"/>
                <w:lang w:val="kk-KZ" w:eastAsia="ru-RU"/>
              </w:rPr>
              <w:t>.</w:t>
            </w:r>
          </w:p>
        </w:tc>
        <w:tc>
          <w:tcPr>
            <w:tcW w:w="795" w:type="dxa"/>
            <w:shd w:val="clear" w:color="auto" w:fill="FFFFFF" w:themeFill="background1"/>
          </w:tcPr>
          <w:p w14:paraId="7455D72F">
            <w:pPr>
              <w:widowControl w:val="0"/>
              <w:autoSpaceDE w:val="0"/>
              <w:autoSpaceDN w:val="0"/>
              <w:spacing w:after="0" w:line="276" w:lineRule="auto"/>
              <w:jc w:val="both"/>
              <w:outlineLvl w:val="0"/>
              <w:rPr>
                <w:rFonts w:ascii="Times New Roman" w:hAnsi="Times New Roman" w:eastAsia="Times New Roman" w:cs="Times New Roman"/>
                <w:sz w:val="28"/>
                <w:szCs w:val="28"/>
                <w:lang w:val="kk-KZ" w:eastAsia="ru-RU"/>
              </w:rPr>
            </w:pPr>
            <w:r>
              <w:rPr>
                <w:rFonts w:ascii="Times New Roman" w:hAnsi="Times New Roman" w:eastAsia="Times New Roman" w:cs="Times New Roman"/>
                <w:sz w:val="28"/>
                <w:szCs w:val="28"/>
                <w:lang w:val="en-US" w:eastAsia="ru-RU"/>
              </w:rPr>
              <w:t>1</w:t>
            </w:r>
            <w:r>
              <w:rPr>
                <w:rFonts w:ascii="Times New Roman" w:hAnsi="Times New Roman" w:eastAsia="Times New Roman" w:cs="Times New Roman"/>
                <w:sz w:val="28"/>
                <w:szCs w:val="28"/>
                <w:lang w:val="kk-KZ" w:eastAsia="ru-RU"/>
              </w:rPr>
              <w:t>3</w:t>
            </w:r>
          </w:p>
        </w:tc>
      </w:tr>
      <w:tr w14:paraId="01C1AED3">
        <w:tblPrEx>
          <w:tblCellMar>
            <w:top w:w="15" w:type="dxa"/>
            <w:left w:w="15" w:type="dxa"/>
            <w:bottom w:w="15" w:type="dxa"/>
            <w:right w:w="15" w:type="dxa"/>
          </w:tblCellMar>
        </w:tblPrEx>
        <w:tc>
          <w:tcPr>
            <w:tcW w:w="900" w:type="dxa"/>
          </w:tcPr>
          <w:p w14:paraId="0A75CB4E">
            <w:pPr>
              <w:widowControl w:val="0"/>
              <w:autoSpaceDE w:val="0"/>
              <w:autoSpaceDN w:val="0"/>
              <w:spacing w:after="0" w:line="300" w:lineRule="auto"/>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1.2.</w:t>
            </w:r>
          </w:p>
        </w:tc>
        <w:tc>
          <w:tcPr>
            <w:tcW w:w="8167" w:type="dxa"/>
          </w:tcPr>
          <w:p w14:paraId="6405140D">
            <w:pPr>
              <w:widowControl w:val="0"/>
              <w:autoSpaceDE w:val="0"/>
              <w:autoSpaceDN w:val="0"/>
              <w:spacing w:after="0" w:line="300" w:lineRule="auto"/>
              <w:outlineLvl w:val="0"/>
              <w:rPr>
                <w:rFonts w:ascii="Times New Roman" w:hAnsi="Times New Roman" w:eastAsia="Times New Roman" w:cs="Times New Roman"/>
                <w:color w:val="000000"/>
                <w:sz w:val="28"/>
                <w:szCs w:val="28"/>
                <w:lang w:val="en-US" w:eastAsia="ru-RU"/>
              </w:rPr>
            </w:pPr>
            <w:r>
              <w:rPr>
                <w:rFonts w:ascii="Times New Roman" w:hAnsi="Times New Roman" w:eastAsia="Times New Roman" w:cs="Times New Roman"/>
                <w:color w:val="000000"/>
                <w:sz w:val="28"/>
                <w:szCs w:val="28"/>
                <w:lang w:val="en-US" w:eastAsia="ru-RU"/>
              </w:rPr>
              <w:t xml:space="preserve">Жүктілік кезіндегі семіздік патологияның және </w:t>
            </w:r>
          </w:p>
          <w:p w14:paraId="31DF10B6">
            <w:pPr>
              <w:widowControl w:val="0"/>
              <w:autoSpaceDE w:val="0"/>
              <w:autoSpaceDN w:val="0"/>
              <w:spacing w:after="0" w:line="300" w:lineRule="auto"/>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color w:val="000000"/>
                <w:sz w:val="28"/>
                <w:szCs w:val="28"/>
                <w:lang w:val="en-US" w:eastAsia="ru-RU"/>
              </w:rPr>
              <w:t>ықтимал асқынулардың қауіп факторы ретінде………………………</w:t>
            </w:r>
          </w:p>
        </w:tc>
        <w:tc>
          <w:tcPr>
            <w:tcW w:w="795" w:type="dxa"/>
            <w:shd w:val="clear" w:color="auto" w:fill="FFFFFF" w:themeFill="background1"/>
          </w:tcPr>
          <w:p w14:paraId="5590F5BA">
            <w:pPr>
              <w:widowControl w:val="0"/>
              <w:autoSpaceDE w:val="0"/>
              <w:autoSpaceDN w:val="0"/>
              <w:spacing w:after="0" w:line="276" w:lineRule="auto"/>
              <w:jc w:val="both"/>
              <w:outlineLvl w:val="0"/>
              <w:rPr>
                <w:rFonts w:ascii="Times New Roman" w:hAnsi="Times New Roman" w:eastAsia="Times New Roman" w:cs="Times New Roman"/>
                <w:sz w:val="28"/>
                <w:szCs w:val="28"/>
                <w:lang w:val="en-US" w:eastAsia="ru-RU"/>
              </w:rPr>
            </w:pPr>
          </w:p>
          <w:p w14:paraId="352FB1B8">
            <w:pPr>
              <w:widowControl w:val="0"/>
              <w:autoSpaceDE w:val="0"/>
              <w:autoSpaceDN w:val="0"/>
              <w:spacing w:after="0" w:line="276" w:lineRule="auto"/>
              <w:jc w:val="both"/>
              <w:outlineLvl w:val="0"/>
              <w:rPr>
                <w:rFonts w:ascii="Times New Roman" w:hAnsi="Times New Roman" w:eastAsia="Times New Roman" w:cs="Times New Roman"/>
                <w:sz w:val="28"/>
                <w:szCs w:val="28"/>
                <w:lang w:val="kk-KZ" w:eastAsia="ru-RU"/>
              </w:rPr>
            </w:pPr>
            <w:r>
              <w:rPr>
                <w:rFonts w:ascii="Times New Roman" w:hAnsi="Times New Roman" w:eastAsia="Times New Roman" w:cs="Times New Roman"/>
                <w:sz w:val="28"/>
                <w:szCs w:val="28"/>
                <w:lang w:val="en-US" w:eastAsia="ru-RU"/>
              </w:rPr>
              <w:t>1</w:t>
            </w:r>
            <w:r>
              <w:rPr>
                <w:rFonts w:ascii="Times New Roman" w:hAnsi="Times New Roman" w:eastAsia="Times New Roman" w:cs="Times New Roman"/>
                <w:sz w:val="28"/>
                <w:szCs w:val="28"/>
                <w:lang w:val="kk-KZ" w:eastAsia="ru-RU"/>
              </w:rPr>
              <w:t>4</w:t>
            </w:r>
          </w:p>
        </w:tc>
      </w:tr>
      <w:tr w14:paraId="0ACD8A0F">
        <w:tblPrEx>
          <w:tblCellMar>
            <w:top w:w="15" w:type="dxa"/>
            <w:left w:w="15" w:type="dxa"/>
            <w:bottom w:w="15" w:type="dxa"/>
            <w:right w:w="15" w:type="dxa"/>
          </w:tblCellMar>
        </w:tblPrEx>
        <w:tc>
          <w:tcPr>
            <w:tcW w:w="900" w:type="dxa"/>
          </w:tcPr>
          <w:p w14:paraId="7E5C72FF">
            <w:pPr>
              <w:widowControl w:val="0"/>
              <w:autoSpaceDE w:val="0"/>
              <w:autoSpaceDN w:val="0"/>
              <w:spacing w:after="0" w:line="300" w:lineRule="auto"/>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1.3.</w:t>
            </w:r>
          </w:p>
        </w:tc>
        <w:tc>
          <w:tcPr>
            <w:tcW w:w="8167" w:type="dxa"/>
          </w:tcPr>
          <w:p w14:paraId="3BB49022">
            <w:pPr>
              <w:widowControl w:val="0"/>
              <w:autoSpaceDE w:val="0"/>
              <w:autoSpaceDN w:val="0"/>
              <w:spacing w:after="0" w:line="300" w:lineRule="auto"/>
              <w:outlineLvl w:val="0"/>
              <w:rPr>
                <w:rFonts w:ascii="Times New Roman" w:hAnsi="Times New Roman" w:eastAsia="Times New Roman" w:cs="Times New Roman"/>
                <w:color w:val="000000"/>
                <w:sz w:val="28"/>
                <w:szCs w:val="28"/>
                <w:lang w:val="en-US" w:eastAsia="ru-RU"/>
              </w:rPr>
            </w:pPr>
            <w:r>
              <w:rPr>
                <w:rFonts w:ascii="Times New Roman" w:hAnsi="Times New Roman" w:eastAsia="Times New Roman" w:cs="Times New Roman"/>
                <w:color w:val="000000"/>
                <w:sz w:val="28"/>
                <w:szCs w:val="28"/>
                <w:lang w:val="en-US" w:eastAsia="ru-RU"/>
              </w:rPr>
              <w:t xml:space="preserve">Семіздікке және темір тапшылығы мен темір </w:t>
            </w:r>
          </w:p>
          <w:p w14:paraId="190A3DB3">
            <w:pPr>
              <w:widowControl w:val="0"/>
              <w:autoSpaceDE w:val="0"/>
              <w:autoSpaceDN w:val="0"/>
              <w:spacing w:after="0" w:line="300" w:lineRule="auto"/>
              <w:outlineLvl w:val="0"/>
              <w:rPr>
                <w:rFonts w:ascii="Times New Roman" w:hAnsi="Times New Roman" w:eastAsia="Times New Roman" w:cs="Times New Roman"/>
                <w:color w:val="000000"/>
                <w:sz w:val="28"/>
                <w:szCs w:val="28"/>
                <w:lang w:val="en-US" w:eastAsia="ru-RU"/>
              </w:rPr>
            </w:pPr>
            <w:r>
              <w:rPr>
                <w:rFonts w:ascii="Times New Roman" w:hAnsi="Times New Roman" w:eastAsia="Times New Roman" w:cs="Times New Roman"/>
                <w:color w:val="000000"/>
                <w:sz w:val="28"/>
                <w:szCs w:val="28"/>
                <w:lang w:val="en-US" w:eastAsia="ru-RU"/>
              </w:rPr>
              <w:t xml:space="preserve">тапшылығы анемиясының дамуына байланысты қабыну </w:t>
            </w:r>
          </w:p>
          <w:p w14:paraId="38EDAB3C">
            <w:pPr>
              <w:widowControl w:val="0"/>
              <w:autoSpaceDE w:val="0"/>
              <w:autoSpaceDN w:val="0"/>
              <w:spacing w:after="0" w:line="300" w:lineRule="auto"/>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color w:val="000000"/>
                <w:sz w:val="28"/>
                <w:szCs w:val="28"/>
                <w:lang w:val="en-US" w:eastAsia="ru-RU"/>
              </w:rPr>
              <w:t>маркерлері……………………………………………………………….</w:t>
            </w:r>
          </w:p>
        </w:tc>
        <w:tc>
          <w:tcPr>
            <w:tcW w:w="795" w:type="dxa"/>
            <w:shd w:val="clear" w:color="auto" w:fill="FFFFFF" w:themeFill="background1"/>
          </w:tcPr>
          <w:p w14:paraId="10CEE0E9">
            <w:pPr>
              <w:widowControl w:val="0"/>
              <w:autoSpaceDE w:val="0"/>
              <w:autoSpaceDN w:val="0"/>
              <w:spacing w:after="0" w:line="276" w:lineRule="auto"/>
              <w:jc w:val="both"/>
              <w:outlineLvl w:val="0"/>
              <w:rPr>
                <w:rFonts w:ascii="Times New Roman" w:hAnsi="Times New Roman" w:eastAsia="Times New Roman" w:cs="Times New Roman"/>
                <w:sz w:val="28"/>
                <w:szCs w:val="28"/>
                <w:lang w:val="en-US" w:eastAsia="ru-RU"/>
              </w:rPr>
            </w:pPr>
          </w:p>
          <w:p w14:paraId="6B970264">
            <w:pPr>
              <w:widowControl w:val="0"/>
              <w:autoSpaceDE w:val="0"/>
              <w:autoSpaceDN w:val="0"/>
              <w:spacing w:after="0" w:line="276" w:lineRule="auto"/>
              <w:jc w:val="both"/>
              <w:outlineLvl w:val="0"/>
              <w:rPr>
                <w:rFonts w:ascii="Times New Roman" w:hAnsi="Times New Roman" w:eastAsia="Times New Roman" w:cs="Times New Roman"/>
                <w:sz w:val="28"/>
                <w:szCs w:val="28"/>
                <w:lang w:val="en-US" w:eastAsia="ru-RU"/>
              </w:rPr>
            </w:pPr>
          </w:p>
          <w:p w14:paraId="1B439591">
            <w:pPr>
              <w:widowControl w:val="0"/>
              <w:autoSpaceDE w:val="0"/>
              <w:autoSpaceDN w:val="0"/>
              <w:spacing w:after="0" w:line="276" w:lineRule="auto"/>
              <w:jc w:val="both"/>
              <w:outlineLvl w:val="0"/>
              <w:rPr>
                <w:rFonts w:ascii="Times New Roman" w:hAnsi="Times New Roman" w:eastAsia="Times New Roman" w:cs="Times New Roman"/>
                <w:sz w:val="28"/>
                <w:szCs w:val="28"/>
                <w:lang w:val="kk-KZ" w:eastAsia="ru-RU"/>
              </w:rPr>
            </w:pPr>
            <w:r>
              <w:rPr>
                <w:rFonts w:ascii="Times New Roman" w:hAnsi="Times New Roman" w:eastAsia="Times New Roman" w:cs="Times New Roman"/>
                <w:sz w:val="28"/>
                <w:szCs w:val="28"/>
                <w:lang w:val="en-US" w:eastAsia="ru-RU"/>
              </w:rPr>
              <w:t>1</w:t>
            </w:r>
            <w:r>
              <w:rPr>
                <w:rFonts w:ascii="Times New Roman" w:hAnsi="Times New Roman" w:eastAsia="Times New Roman" w:cs="Times New Roman"/>
                <w:sz w:val="28"/>
                <w:szCs w:val="28"/>
                <w:lang w:val="kk-KZ" w:eastAsia="ru-RU"/>
              </w:rPr>
              <w:t>5</w:t>
            </w:r>
          </w:p>
        </w:tc>
      </w:tr>
      <w:tr w14:paraId="7FF5A88C">
        <w:tblPrEx>
          <w:tblCellMar>
            <w:top w:w="15" w:type="dxa"/>
            <w:left w:w="15" w:type="dxa"/>
            <w:bottom w:w="15" w:type="dxa"/>
            <w:right w:w="15" w:type="dxa"/>
          </w:tblCellMar>
        </w:tblPrEx>
        <w:tc>
          <w:tcPr>
            <w:tcW w:w="900" w:type="dxa"/>
          </w:tcPr>
          <w:p w14:paraId="0A3625A3">
            <w:pPr>
              <w:widowControl w:val="0"/>
              <w:autoSpaceDE w:val="0"/>
              <w:autoSpaceDN w:val="0"/>
              <w:spacing w:after="0" w:line="300" w:lineRule="auto"/>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1.4.</w:t>
            </w:r>
          </w:p>
        </w:tc>
        <w:tc>
          <w:tcPr>
            <w:tcW w:w="8167" w:type="dxa"/>
          </w:tcPr>
          <w:p w14:paraId="5A4E9CEE">
            <w:pPr>
              <w:widowControl w:val="0"/>
              <w:autoSpaceDE w:val="0"/>
              <w:autoSpaceDN w:val="0"/>
              <w:spacing w:after="0" w:line="300" w:lineRule="auto"/>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 xml:space="preserve">Жүктілік кезіндегі анемияның семіздікпен байланысын </w:t>
            </w:r>
          </w:p>
          <w:p w14:paraId="14E73194">
            <w:pPr>
              <w:widowControl w:val="0"/>
              <w:autoSpaceDE w:val="0"/>
              <w:autoSpaceDN w:val="0"/>
              <w:spacing w:after="0" w:line="300" w:lineRule="auto"/>
              <w:outlineLvl w:val="0"/>
              <w:rPr>
                <w:rFonts w:ascii="Times New Roman" w:hAnsi="Times New Roman" w:eastAsia="Times New Roman" w:cs="Times New Roman"/>
                <w:strike/>
                <w:sz w:val="28"/>
                <w:szCs w:val="28"/>
                <w:lang w:val="en-US" w:eastAsia="ru-RU"/>
              </w:rPr>
            </w:pPr>
            <w:r>
              <w:rPr>
                <w:rFonts w:ascii="Times New Roman" w:hAnsi="Times New Roman" w:eastAsia="Times New Roman" w:cs="Times New Roman"/>
                <w:sz w:val="28"/>
                <w:szCs w:val="28"/>
                <w:lang w:val="en-US" w:eastAsia="ru-RU"/>
              </w:rPr>
              <w:t>көрсететін патогенетикалық механизм………………………………..</w:t>
            </w:r>
          </w:p>
        </w:tc>
        <w:tc>
          <w:tcPr>
            <w:tcW w:w="795" w:type="dxa"/>
            <w:shd w:val="clear" w:color="auto" w:fill="FFFFFF" w:themeFill="background1"/>
          </w:tcPr>
          <w:p w14:paraId="0465A973">
            <w:pPr>
              <w:widowControl w:val="0"/>
              <w:autoSpaceDE w:val="0"/>
              <w:autoSpaceDN w:val="0"/>
              <w:spacing w:after="0" w:line="276" w:lineRule="auto"/>
              <w:jc w:val="both"/>
              <w:outlineLvl w:val="0"/>
              <w:rPr>
                <w:rFonts w:ascii="Times New Roman" w:hAnsi="Times New Roman" w:eastAsia="Times New Roman" w:cs="Times New Roman"/>
                <w:sz w:val="28"/>
                <w:szCs w:val="28"/>
                <w:lang w:val="en-US" w:eastAsia="ru-RU"/>
              </w:rPr>
            </w:pPr>
          </w:p>
          <w:p w14:paraId="4B225A79">
            <w:pPr>
              <w:widowControl w:val="0"/>
              <w:autoSpaceDE w:val="0"/>
              <w:autoSpaceDN w:val="0"/>
              <w:spacing w:after="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17</w:t>
            </w:r>
          </w:p>
        </w:tc>
      </w:tr>
      <w:tr w14:paraId="7B56365A">
        <w:tblPrEx>
          <w:tblCellMar>
            <w:top w:w="15" w:type="dxa"/>
            <w:left w:w="15" w:type="dxa"/>
            <w:bottom w:w="15" w:type="dxa"/>
            <w:right w:w="15" w:type="dxa"/>
          </w:tblCellMar>
        </w:tblPrEx>
        <w:tc>
          <w:tcPr>
            <w:tcW w:w="900" w:type="dxa"/>
          </w:tcPr>
          <w:p w14:paraId="0E5005D6">
            <w:pPr>
              <w:widowControl w:val="0"/>
              <w:autoSpaceDE w:val="0"/>
              <w:autoSpaceDN w:val="0"/>
              <w:spacing w:after="0" w:line="300" w:lineRule="auto"/>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1.5.</w:t>
            </w:r>
          </w:p>
        </w:tc>
        <w:tc>
          <w:tcPr>
            <w:tcW w:w="8167" w:type="dxa"/>
          </w:tcPr>
          <w:p w14:paraId="2EFCA9B3">
            <w:pPr>
              <w:widowControl w:val="0"/>
              <w:autoSpaceDE w:val="0"/>
              <w:autoSpaceDN w:val="0"/>
              <w:spacing w:after="0" w:line="300" w:lineRule="auto"/>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 xml:space="preserve">Әйелдердегі предгестациялық артық салмақ пен </w:t>
            </w:r>
          </w:p>
          <w:p w14:paraId="2E071264">
            <w:pPr>
              <w:widowControl w:val="0"/>
              <w:autoSpaceDE w:val="0"/>
              <w:autoSpaceDN w:val="0"/>
              <w:spacing w:after="0" w:line="300" w:lineRule="auto"/>
              <w:outlineLvl w:val="0"/>
              <w:rPr>
                <w:rFonts w:ascii="Times New Roman" w:hAnsi="Times New Roman" w:eastAsia="Times New Roman" w:cs="Times New Roman"/>
                <w:strike/>
                <w:sz w:val="28"/>
                <w:szCs w:val="28"/>
                <w:lang w:val="en-US" w:eastAsia="ru-RU"/>
              </w:rPr>
            </w:pPr>
            <w:r>
              <w:rPr>
                <w:rFonts w:ascii="Times New Roman" w:hAnsi="Times New Roman" w:eastAsia="Times New Roman" w:cs="Times New Roman"/>
                <w:sz w:val="28"/>
                <w:szCs w:val="28"/>
                <w:lang w:val="en-US" w:eastAsia="ru-RU"/>
              </w:rPr>
              <w:t>семіздіктің нәрестелердің темір статусына әсері……………………..</w:t>
            </w:r>
          </w:p>
        </w:tc>
        <w:tc>
          <w:tcPr>
            <w:tcW w:w="795" w:type="dxa"/>
            <w:shd w:val="clear" w:color="auto" w:fill="FFFFFF" w:themeFill="background1"/>
          </w:tcPr>
          <w:p w14:paraId="6059626A">
            <w:pPr>
              <w:widowControl w:val="0"/>
              <w:autoSpaceDE w:val="0"/>
              <w:autoSpaceDN w:val="0"/>
              <w:spacing w:after="0" w:line="276" w:lineRule="auto"/>
              <w:jc w:val="both"/>
              <w:outlineLvl w:val="0"/>
              <w:rPr>
                <w:rFonts w:ascii="Times New Roman" w:hAnsi="Times New Roman" w:eastAsia="Times New Roman" w:cs="Times New Roman"/>
                <w:sz w:val="28"/>
                <w:szCs w:val="28"/>
                <w:lang w:val="en-US" w:eastAsia="ru-RU"/>
              </w:rPr>
            </w:pPr>
          </w:p>
          <w:p w14:paraId="60215F69">
            <w:pPr>
              <w:widowControl w:val="0"/>
              <w:autoSpaceDE w:val="0"/>
              <w:autoSpaceDN w:val="0"/>
              <w:spacing w:after="0" w:line="276" w:lineRule="auto"/>
              <w:jc w:val="both"/>
              <w:outlineLvl w:val="0"/>
              <w:rPr>
                <w:rFonts w:ascii="Times New Roman" w:hAnsi="Times New Roman" w:eastAsia="Times New Roman" w:cs="Times New Roman"/>
                <w:sz w:val="28"/>
                <w:szCs w:val="28"/>
                <w:lang w:val="kk-KZ" w:eastAsia="ru-RU"/>
              </w:rPr>
            </w:pPr>
            <w:r>
              <w:rPr>
                <w:rFonts w:ascii="Times New Roman" w:hAnsi="Times New Roman" w:eastAsia="Times New Roman" w:cs="Times New Roman"/>
                <w:sz w:val="28"/>
                <w:szCs w:val="28"/>
                <w:lang w:val="en-US" w:eastAsia="ru-RU"/>
              </w:rPr>
              <w:t>2</w:t>
            </w:r>
            <w:r>
              <w:rPr>
                <w:rFonts w:ascii="Times New Roman" w:hAnsi="Times New Roman" w:eastAsia="Times New Roman" w:cs="Times New Roman"/>
                <w:sz w:val="28"/>
                <w:szCs w:val="28"/>
                <w:lang w:val="kk-KZ" w:eastAsia="ru-RU"/>
              </w:rPr>
              <w:t>2</w:t>
            </w:r>
          </w:p>
        </w:tc>
      </w:tr>
      <w:tr w14:paraId="1F96CC3F">
        <w:tblPrEx>
          <w:tblCellMar>
            <w:top w:w="15" w:type="dxa"/>
            <w:left w:w="15" w:type="dxa"/>
            <w:bottom w:w="15" w:type="dxa"/>
            <w:right w:w="15" w:type="dxa"/>
          </w:tblCellMar>
        </w:tblPrEx>
        <w:tc>
          <w:tcPr>
            <w:tcW w:w="900" w:type="dxa"/>
          </w:tcPr>
          <w:p w14:paraId="35701A86">
            <w:pPr>
              <w:widowControl w:val="0"/>
              <w:autoSpaceDE w:val="0"/>
              <w:autoSpaceDN w:val="0"/>
              <w:spacing w:after="0" w:line="300" w:lineRule="auto"/>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 xml:space="preserve">1.6. </w:t>
            </w:r>
          </w:p>
        </w:tc>
        <w:tc>
          <w:tcPr>
            <w:tcW w:w="8167" w:type="dxa"/>
          </w:tcPr>
          <w:p w14:paraId="28B65C06">
            <w:pPr>
              <w:widowControl w:val="0"/>
              <w:autoSpaceDE w:val="0"/>
              <w:autoSpaceDN w:val="0"/>
              <w:spacing w:after="0" w:line="300" w:lineRule="auto"/>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color w:val="000000"/>
                <w:sz w:val="28"/>
                <w:szCs w:val="28"/>
                <w:lang w:val="en-US" w:eastAsia="ru-RU"/>
              </w:rPr>
              <w:t>Семіздігі бар ж</w:t>
            </w:r>
            <w:r>
              <w:rPr>
                <w:rFonts w:ascii="Times New Roman" w:hAnsi="Times New Roman" w:eastAsia="Times New Roman" w:cs="Times New Roman"/>
                <w:sz w:val="28"/>
                <w:szCs w:val="28"/>
                <w:lang w:val="en-US" w:eastAsia="ru-RU"/>
              </w:rPr>
              <w:t xml:space="preserve">үктілілердің темір статусының </w:t>
            </w:r>
          </w:p>
          <w:p w14:paraId="76F527BF">
            <w:pPr>
              <w:widowControl w:val="0"/>
              <w:autoSpaceDE w:val="0"/>
              <w:autoSpaceDN w:val="0"/>
              <w:spacing w:after="0" w:line="300" w:lineRule="auto"/>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 xml:space="preserve">параметрлеріне диеталық араласулар мен темір қоспаларының </w:t>
            </w:r>
          </w:p>
          <w:p w14:paraId="3602B4DC">
            <w:pPr>
              <w:widowControl w:val="0"/>
              <w:autoSpaceDE w:val="0"/>
              <w:autoSpaceDN w:val="0"/>
              <w:spacing w:after="0" w:line="300" w:lineRule="auto"/>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әсері……………………………………………………………………...</w:t>
            </w:r>
          </w:p>
        </w:tc>
        <w:tc>
          <w:tcPr>
            <w:tcW w:w="795" w:type="dxa"/>
            <w:shd w:val="clear" w:color="auto" w:fill="FFFFFF" w:themeFill="background1"/>
          </w:tcPr>
          <w:p w14:paraId="20E13A1C">
            <w:pPr>
              <w:widowControl w:val="0"/>
              <w:autoSpaceDE w:val="0"/>
              <w:autoSpaceDN w:val="0"/>
              <w:spacing w:after="0" w:line="276" w:lineRule="auto"/>
              <w:jc w:val="both"/>
              <w:outlineLvl w:val="0"/>
              <w:rPr>
                <w:rFonts w:ascii="Times New Roman" w:hAnsi="Times New Roman" w:eastAsia="Times New Roman" w:cs="Times New Roman"/>
                <w:sz w:val="28"/>
                <w:szCs w:val="28"/>
                <w:lang w:val="en-US" w:eastAsia="ru-RU"/>
              </w:rPr>
            </w:pPr>
          </w:p>
          <w:p w14:paraId="7B7F0402">
            <w:pPr>
              <w:widowControl w:val="0"/>
              <w:autoSpaceDE w:val="0"/>
              <w:autoSpaceDN w:val="0"/>
              <w:spacing w:after="0" w:line="276" w:lineRule="auto"/>
              <w:jc w:val="both"/>
              <w:outlineLvl w:val="0"/>
              <w:rPr>
                <w:rFonts w:ascii="Times New Roman" w:hAnsi="Times New Roman" w:eastAsia="Times New Roman" w:cs="Times New Roman"/>
                <w:sz w:val="28"/>
                <w:szCs w:val="28"/>
                <w:lang w:val="en-US" w:eastAsia="ru-RU"/>
              </w:rPr>
            </w:pPr>
          </w:p>
          <w:p w14:paraId="52C9B7A3">
            <w:pPr>
              <w:widowControl w:val="0"/>
              <w:autoSpaceDE w:val="0"/>
              <w:autoSpaceDN w:val="0"/>
              <w:spacing w:after="0" w:line="276" w:lineRule="auto"/>
              <w:jc w:val="both"/>
              <w:outlineLvl w:val="0"/>
              <w:rPr>
                <w:rFonts w:ascii="Times New Roman" w:hAnsi="Times New Roman" w:eastAsia="Times New Roman" w:cs="Times New Roman"/>
                <w:sz w:val="28"/>
                <w:szCs w:val="28"/>
                <w:lang w:val="kk-KZ" w:eastAsia="ru-RU"/>
              </w:rPr>
            </w:pPr>
            <w:r>
              <w:rPr>
                <w:rFonts w:ascii="Times New Roman" w:hAnsi="Times New Roman" w:eastAsia="Times New Roman" w:cs="Times New Roman"/>
                <w:sz w:val="28"/>
                <w:szCs w:val="28"/>
                <w:lang w:val="en-US" w:eastAsia="ru-RU"/>
              </w:rPr>
              <w:t>2</w:t>
            </w:r>
            <w:r>
              <w:rPr>
                <w:rFonts w:ascii="Times New Roman" w:hAnsi="Times New Roman" w:eastAsia="Times New Roman" w:cs="Times New Roman"/>
                <w:sz w:val="28"/>
                <w:szCs w:val="28"/>
                <w:lang w:val="kk-KZ" w:eastAsia="ru-RU"/>
              </w:rPr>
              <w:t>3</w:t>
            </w:r>
          </w:p>
        </w:tc>
      </w:tr>
      <w:tr w14:paraId="2A8DD922">
        <w:tblPrEx>
          <w:tblCellMar>
            <w:top w:w="15" w:type="dxa"/>
            <w:left w:w="15" w:type="dxa"/>
            <w:bottom w:w="15" w:type="dxa"/>
            <w:right w:w="15" w:type="dxa"/>
          </w:tblCellMar>
        </w:tblPrEx>
        <w:tc>
          <w:tcPr>
            <w:tcW w:w="9067" w:type="dxa"/>
            <w:gridSpan w:val="2"/>
          </w:tcPr>
          <w:p w14:paraId="7726532B">
            <w:pPr>
              <w:widowControl w:val="0"/>
              <w:autoSpaceDE w:val="0"/>
              <w:autoSpaceDN w:val="0"/>
              <w:spacing w:before="100" w:beforeAutospacing="1" w:after="100" w:afterAutospacing="1" w:line="276" w:lineRule="auto"/>
              <w:jc w:val="both"/>
              <w:outlineLvl w:val="0"/>
              <w:rPr>
                <w:rFonts w:ascii="Times New Roman" w:hAnsi="Times New Roman" w:eastAsia="Times New Roman" w:cs="Times New Roman"/>
                <w:b/>
                <w:sz w:val="28"/>
                <w:szCs w:val="28"/>
                <w:lang w:val="en-US" w:eastAsia="ru-RU"/>
              </w:rPr>
            </w:pPr>
          </w:p>
          <w:p w14:paraId="14518100">
            <w:pPr>
              <w:widowControl w:val="0"/>
              <w:autoSpaceDE w:val="0"/>
              <w:autoSpaceDN w:val="0"/>
              <w:spacing w:before="100" w:beforeAutospacing="1" w:after="100" w:afterAutospacing="1" w:line="276" w:lineRule="auto"/>
              <w:jc w:val="both"/>
              <w:outlineLvl w:val="0"/>
              <w:rPr>
                <w:rFonts w:ascii="Times New Roman" w:hAnsi="Times New Roman" w:eastAsia="Times New Roman" w:cs="Times New Roman"/>
                <w:b/>
                <w:sz w:val="28"/>
                <w:szCs w:val="28"/>
                <w:lang w:val="en-US" w:eastAsia="ru-RU"/>
              </w:rPr>
            </w:pPr>
            <w:r>
              <w:rPr>
                <w:rFonts w:ascii="Times New Roman" w:hAnsi="Times New Roman" w:eastAsia="Times New Roman" w:cs="Times New Roman"/>
                <w:b/>
                <w:sz w:val="28"/>
                <w:szCs w:val="28"/>
                <w:lang w:val="en-US" w:eastAsia="ru-RU"/>
              </w:rPr>
              <w:t>БӨЛІМ 2. НАУҚАСТАРДЫҢ КЛИНИКАЛЫҚ СИПАТТАМАЛАРЫ МЕН ЗЕРТТЕУ ӘДІСТЕРІ</w:t>
            </w:r>
          </w:p>
        </w:tc>
        <w:tc>
          <w:tcPr>
            <w:tcW w:w="795" w:type="dxa"/>
            <w:shd w:val="clear" w:color="auto" w:fill="FFFFFF" w:themeFill="background1"/>
          </w:tcPr>
          <w:p w14:paraId="15CE9187">
            <w:pPr>
              <w:widowControl w:val="0"/>
              <w:autoSpaceDE w:val="0"/>
              <w:autoSpaceDN w:val="0"/>
              <w:spacing w:before="100" w:beforeAutospacing="1" w:after="100" w:afterAutospacing="1" w:line="276" w:lineRule="auto"/>
              <w:jc w:val="both"/>
              <w:outlineLvl w:val="0"/>
              <w:rPr>
                <w:rFonts w:ascii="Times New Roman" w:hAnsi="Times New Roman" w:eastAsia="Times New Roman" w:cs="Times New Roman"/>
                <w:sz w:val="28"/>
                <w:szCs w:val="28"/>
                <w:lang w:val="en-US" w:eastAsia="ru-RU"/>
              </w:rPr>
            </w:pPr>
          </w:p>
          <w:p w14:paraId="30B1A82F">
            <w:pPr>
              <w:widowControl w:val="0"/>
              <w:autoSpaceDE w:val="0"/>
              <w:autoSpaceDN w:val="0"/>
              <w:spacing w:before="100" w:beforeAutospacing="1" w:after="100" w:afterAutospacing="1" w:line="276" w:lineRule="auto"/>
              <w:jc w:val="both"/>
              <w:outlineLvl w:val="0"/>
              <w:rPr>
                <w:rFonts w:hint="default" w:ascii="Times New Roman" w:hAnsi="Times New Roman" w:eastAsia="Times New Roman" w:cs="Times New Roman"/>
                <w:sz w:val="28"/>
                <w:szCs w:val="28"/>
                <w:lang w:val="kk-KZ" w:eastAsia="ru-RU"/>
              </w:rPr>
            </w:pPr>
            <w:r>
              <w:rPr>
                <w:rFonts w:ascii="Times New Roman" w:hAnsi="Times New Roman" w:eastAsia="Times New Roman" w:cs="Times New Roman"/>
                <w:sz w:val="28"/>
                <w:szCs w:val="28"/>
                <w:lang w:val="en-US" w:eastAsia="ru-RU"/>
              </w:rPr>
              <w:t>2</w:t>
            </w:r>
            <w:r>
              <w:rPr>
                <w:rFonts w:hint="default" w:ascii="Times New Roman" w:hAnsi="Times New Roman" w:eastAsia="Times New Roman" w:cs="Times New Roman"/>
                <w:sz w:val="28"/>
                <w:szCs w:val="28"/>
                <w:lang w:val="kk-KZ" w:eastAsia="ru-RU"/>
              </w:rPr>
              <w:t>6</w:t>
            </w:r>
          </w:p>
        </w:tc>
      </w:tr>
      <w:tr w14:paraId="44592252">
        <w:tblPrEx>
          <w:tblCellMar>
            <w:top w:w="15" w:type="dxa"/>
            <w:left w:w="15" w:type="dxa"/>
            <w:bottom w:w="15" w:type="dxa"/>
            <w:right w:w="15" w:type="dxa"/>
          </w:tblCellMar>
        </w:tblPrEx>
        <w:tc>
          <w:tcPr>
            <w:tcW w:w="900" w:type="dxa"/>
          </w:tcPr>
          <w:p w14:paraId="1ECFC0D3">
            <w:pPr>
              <w:widowControl w:val="0"/>
              <w:autoSpaceDE w:val="0"/>
              <w:autoSpaceDN w:val="0"/>
              <w:spacing w:after="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2.1</w:t>
            </w:r>
          </w:p>
        </w:tc>
        <w:tc>
          <w:tcPr>
            <w:tcW w:w="8167" w:type="dxa"/>
          </w:tcPr>
          <w:p w14:paraId="23251F78">
            <w:pPr>
              <w:widowControl w:val="0"/>
              <w:autoSpaceDE w:val="0"/>
              <w:autoSpaceDN w:val="0"/>
              <w:spacing w:after="0" w:line="276" w:lineRule="auto"/>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 xml:space="preserve">Зерттеу барысының жалпы сипаттамалары және </w:t>
            </w:r>
          </w:p>
          <w:p w14:paraId="6234F6A3">
            <w:pPr>
              <w:widowControl w:val="0"/>
              <w:autoSpaceDE w:val="0"/>
              <w:autoSpaceDN w:val="0"/>
              <w:spacing w:after="0" w:line="276" w:lineRule="auto"/>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EVOLIS құрылғысы жайлы…………………………………………….</w:t>
            </w:r>
          </w:p>
        </w:tc>
        <w:tc>
          <w:tcPr>
            <w:tcW w:w="795" w:type="dxa"/>
            <w:shd w:val="clear" w:color="auto" w:fill="FFFFFF" w:themeFill="background1"/>
          </w:tcPr>
          <w:p w14:paraId="24E6C653">
            <w:pPr>
              <w:widowControl w:val="0"/>
              <w:autoSpaceDE w:val="0"/>
              <w:autoSpaceDN w:val="0"/>
              <w:spacing w:after="0" w:line="276" w:lineRule="auto"/>
              <w:jc w:val="both"/>
              <w:outlineLvl w:val="0"/>
              <w:rPr>
                <w:rFonts w:ascii="Times New Roman" w:hAnsi="Times New Roman" w:eastAsia="Times New Roman" w:cs="Times New Roman"/>
                <w:sz w:val="28"/>
                <w:szCs w:val="28"/>
                <w:lang w:val="en-US" w:eastAsia="ru-RU"/>
              </w:rPr>
            </w:pPr>
          </w:p>
          <w:p w14:paraId="44532256">
            <w:pPr>
              <w:widowControl w:val="0"/>
              <w:autoSpaceDE w:val="0"/>
              <w:autoSpaceDN w:val="0"/>
              <w:spacing w:after="0" w:line="276" w:lineRule="auto"/>
              <w:jc w:val="both"/>
              <w:outlineLvl w:val="0"/>
              <w:rPr>
                <w:rFonts w:hint="default" w:ascii="Times New Roman" w:hAnsi="Times New Roman" w:eastAsia="Times New Roman" w:cs="Times New Roman"/>
                <w:sz w:val="28"/>
                <w:szCs w:val="28"/>
                <w:lang w:val="kk-KZ" w:eastAsia="ru-RU"/>
              </w:rPr>
            </w:pPr>
            <w:r>
              <w:rPr>
                <w:rFonts w:ascii="Times New Roman" w:hAnsi="Times New Roman" w:eastAsia="Times New Roman" w:cs="Times New Roman"/>
                <w:sz w:val="28"/>
                <w:szCs w:val="28"/>
                <w:lang w:val="en-US" w:eastAsia="ru-RU"/>
              </w:rPr>
              <w:t>2</w:t>
            </w:r>
            <w:r>
              <w:rPr>
                <w:rFonts w:hint="default" w:ascii="Times New Roman" w:hAnsi="Times New Roman" w:eastAsia="Times New Roman" w:cs="Times New Roman"/>
                <w:sz w:val="28"/>
                <w:szCs w:val="28"/>
                <w:lang w:val="kk-KZ" w:eastAsia="ru-RU"/>
              </w:rPr>
              <w:t>6</w:t>
            </w:r>
          </w:p>
        </w:tc>
      </w:tr>
      <w:tr w14:paraId="0CB7CB32">
        <w:tblPrEx>
          <w:tblCellMar>
            <w:top w:w="15" w:type="dxa"/>
            <w:left w:w="15" w:type="dxa"/>
            <w:bottom w:w="15" w:type="dxa"/>
            <w:right w:w="15" w:type="dxa"/>
          </w:tblCellMar>
        </w:tblPrEx>
        <w:tc>
          <w:tcPr>
            <w:tcW w:w="900" w:type="dxa"/>
          </w:tcPr>
          <w:p w14:paraId="2A867EE7">
            <w:pPr>
              <w:widowControl w:val="0"/>
              <w:autoSpaceDE w:val="0"/>
              <w:autoSpaceDN w:val="0"/>
              <w:spacing w:after="0" w:line="276" w:lineRule="auto"/>
              <w:jc w:val="both"/>
              <w:outlineLvl w:val="0"/>
              <w:rPr>
                <w:rFonts w:ascii="Times New Roman" w:hAnsi="Times New Roman" w:eastAsia="Times New Roman" w:cs="Times New Roman"/>
                <w:color w:val="000000"/>
                <w:sz w:val="28"/>
                <w:szCs w:val="28"/>
                <w:lang w:val="en-US" w:eastAsia="ru-RU"/>
              </w:rPr>
            </w:pPr>
            <w:r>
              <w:rPr>
                <w:rFonts w:ascii="Times New Roman" w:hAnsi="Times New Roman" w:eastAsia="Times New Roman" w:cs="Times New Roman"/>
                <w:color w:val="000000"/>
                <w:sz w:val="28"/>
                <w:szCs w:val="28"/>
                <w:lang w:val="en-US" w:eastAsia="ru-RU"/>
              </w:rPr>
              <w:t>2.2</w:t>
            </w:r>
          </w:p>
        </w:tc>
        <w:tc>
          <w:tcPr>
            <w:tcW w:w="8167" w:type="dxa"/>
          </w:tcPr>
          <w:p w14:paraId="04BF38F7">
            <w:pPr>
              <w:widowControl w:val="0"/>
              <w:autoSpaceDE w:val="0"/>
              <w:autoSpaceDN w:val="0"/>
              <w:spacing w:after="0" w:line="276" w:lineRule="auto"/>
              <w:outlineLvl w:val="0"/>
              <w:rPr>
                <w:rFonts w:ascii="Times New Roman" w:hAnsi="Times New Roman" w:eastAsia="Times New Roman" w:cs="Times New Roman"/>
                <w:color w:val="000000"/>
                <w:sz w:val="28"/>
                <w:szCs w:val="28"/>
                <w:lang w:val="en-US" w:eastAsia="ru-RU"/>
              </w:rPr>
            </w:pPr>
            <w:r>
              <w:rPr>
                <w:rFonts w:ascii="Times New Roman" w:hAnsi="Times New Roman" w:eastAsia="Times New Roman" w:cs="Times New Roman"/>
                <w:color w:val="000000"/>
                <w:sz w:val="28"/>
                <w:szCs w:val="28"/>
                <w:lang w:val="en-US" w:eastAsia="ru-RU"/>
              </w:rPr>
              <w:t>Зерттеуге қатысқан науқастардың жалпы сипаттамасы……………..</w:t>
            </w:r>
          </w:p>
        </w:tc>
        <w:tc>
          <w:tcPr>
            <w:tcW w:w="795" w:type="dxa"/>
            <w:shd w:val="clear" w:color="auto" w:fill="FFFFFF" w:themeFill="background1"/>
          </w:tcPr>
          <w:p w14:paraId="36F9156D">
            <w:pPr>
              <w:widowControl w:val="0"/>
              <w:autoSpaceDE w:val="0"/>
              <w:autoSpaceDN w:val="0"/>
              <w:spacing w:after="0" w:line="276" w:lineRule="auto"/>
              <w:jc w:val="both"/>
              <w:outlineLvl w:val="0"/>
              <w:rPr>
                <w:rFonts w:hint="default" w:ascii="Times New Roman" w:hAnsi="Times New Roman" w:eastAsia="Times New Roman" w:cs="Times New Roman"/>
                <w:sz w:val="28"/>
                <w:szCs w:val="28"/>
                <w:lang w:val="kk-KZ" w:eastAsia="ru-RU"/>
              </w:rPr>
            </w:pPr>
            <w:r>
              <w:rPr>
                <w:rFonts w:ascii="Times New Roman" w:hAnsi="Times New Roman" w:eastAsia="Times New Roman" w:cs="Times New Roman"/>
                <w:sz w:val="28"/>
                <w:szCs w:val="28"/>
                <w:lang w:val="kk-KZ" w:eastAsia="ru-RU"/>
              </w:rPr>
              <w:t>2</w:t>
            </w:r>
            <w:r>
              <w:rPr>
                <w:rFonts w:hint="default" w:ascii="Times New Roman" w:hAnsi="Times New Roman" w:eastAsia="Times New Roman" w:cs="Times New Roman"/>
                <w:sz w:val="28"/>
                <w:szCs w:val="28"/>
                <w:lang w:val="kk-KZ" w:eastAsia="ru-RU"/>
              </w:rPr>
              <w:t>8</w:t>
            </w:r>
          </w:p>
        </w:tc>
      </w:tr>
      <w:tr w14:paraId="6D47BD4E">
        <w:tblPrEx>
          <w:tblCellMar>
            <w:top w:w="15" w:type="dxa"/>
            <w:left w:w="15" w:type="dxa"/>
            <w:bottom w:w="15" w:type="dxa"/>
            <w:right w:w="15" w:type="dxa"/>
          </w:tblCellMar>
        </w:tblPrEx>
        <w:tc>
          <w:tcPr>
            <w:tcW w:w="900" w:type="dxa"/>
          </w:tcPr>
          <w:p w14:paraId="01FAF36B">
            <w:pPr>
              <w:widowControl w:val="0"/>
              <w:autoSpaceDE w:val="0"/>
              <w:autoSpaceDN w:val="0"/>
              <w:spacing w:after="0" w:line="276" w:lineRule="auto"/>
              <w:jc w:val="both"/>
              <w:outlineLvl w:val="0"/>
              <w:rPr>
                <w:rFonts w:ascii="Times New Roman" w:hAnsi="Times New Roman" w:eastAsia="Times New Roman" w:cs="Times New Roman"/>
                <w:color w:val="000000"/>
                <w:sz w:val="28"/>
                <w:szCs w:val="28"/>
                <w:lang w:val="en-US" w:eastAsia="ru-RU"/>
              </w:rPr>
            </w:pPr>
            <w:r>
              <w:rPr>
                <w:rFonts w:ascii="Times New Roman" w:hAnsi="Times New Roman" w:eastAsia="Times New Roman" w:cs="Times New Roman"/>
                <w:color w:val="000000"/>
                <w:sz w:val="28"/>
                <w:szCs w:val="28"/>
                <w:lang w:val="en-US" w:eastAsia="ru-RU"/>
              </w:rPr>
              <w:t>2.3</w:t>
            </w:r>
          </w:p>
        </w:tc>
        <w:tc>
          <w:tcPr>
            <w:tcW w:w="8167" w:type="dxa"/>
          </w:tcPr>
          <w:p w14:paraId="1358F078">
            <w:pPr>
              <w:widowControl w:val="0"/>
              <w:autoSpaceDE w:val="0"/>
              <w:autoSpaceDN w:val="0"/>
              <w:spacing w:after="0" w:line="276" w:lineRule="auto"/>
              <w:outlineLvl w:val="0"/>
              <w:rPr>
                <w:rFonts w:ascii="Times New Roman" w:hAnsi="Times New Roman" w:eastAsia="Times New Roman" w:cs="Times New Roman"/>
                <w:color w:val="000000"/>
                <w:sz w:val="28"/>
                <w:szCs w:val="28"/>
                <w:lang w:val="en-US" w:eastAsia="ru-RU"/>
              </w:rPr>
            </w:pPr>
            <w:r>
              <w:rPr>
                <w:rFonts w:ascii="Times New Roman" w:hAnsi="Times New Roman" w:eastAsia="Times New Roman" w:cs="Times New Roman"/>
                <w:color w:val="000000"/>
                <w:sz w:val="28"/>
                <w:szCs w:val="28"/>
                <w:lang w:val="en-US" w:eastAsia="ru-RU"/>
              </w:rPr>
              <w:t>Зерттеуге қажетті материалдар және зерттеуді жүргізу әдістері……</w:t>
            </w:r>
          </w:p>
        </w:tc>
        <w:tc>
          <w:tcPr>
            <w:tcW w:w="795" w:type="dxa"/>
            <w:shd w:val="clear" w:color="auto" w:fill="FFFFFF" w:themeFill="background1"/>
          </w:tcPr>
          <w:p w14:paraId="560DDF98">
            <w:pPr>
              <w:widowControl w:val="0"/>
              <w:autoSpaceDE w:val="0"/>
              <w:autoSpaceDN w:val="0"/>
              <w:spacing w:after="0" w:line="276" w:lineRule="auto"/>
              <w:jc w:val="both"/>
              <w:outlineLvl w:val="0"/>
              <w:rPr>
                <w:rFonts w:hint="default" w:ascii="Times New Roman" w:hAnsi="Times New Roman" w:eastAsia="Times New Roman" w:cs="Times New Roman"/>
                <w:sz w:val="28"/>
                <w:szCs w:val="28"/>
                <w:lang w:val="kk-KZ" w:eastAsia="ru-RU"/>
              </w:rPr>
            </w:pPr>
            <w:r>
              <w:rPr>
                <w:rFonts w:hint="default" w:ascii="Times New Roman" w:hAnsi="Times New Roman" w:eastAsia="Times New Roman" w:cs="Times New Roman"/>
                <w:sz w:val="28"/>
                <w:szCs w:val="28"/>
                <w:lang w:val="kk-KZ" w:eastAsia="ru-RU"/>
              </w:rPr>
              <w:t>29</w:t>
            </w:r>
          </w:p>
        </w:tc>
      </w:tr>
      <w:tr w14:paraId="368CA875">
        <w:tblPrEx>
          <w:tblCellMar>
            <w:top w:w="15" w:type="dxa"/>
            <w:left w:w="15" w:type="dxa"/>
            <w:bottom w:w="15" w:type="dxa"/>
            <w:right w:w="15" w:type="dxa"/>
          </w:tblCellMar>
        </w:tblPrEx>
        <w:tc>
          <w:tcPr>
            <w:tcW w:w="900" w:type="dxa"/>
          </w:tcPr>
          <w:p w14:paraId="74365989">
            <w:pPr>
              <w:widowControl w:val="0"/>
              <w:autoSpaceDE w:val="0"/>
              <w:autoSpaceDN w:val="0"/>
              <w:spacing w:after="0" w:line="276" w:lineRule="auto"/>
              <w:jc w:val="both"/>
              <w:outlineLvl w:val="0"/>
              <w:rPr>
                <w:rFonts w:ascii="Times New Roman" w:hAnsi="Times New Roman" w:eastAsia="Times New Roman" w:cs="Times New Roman"/>
                <w:color w:val="000000"/>
                <w:sz w:val="28"/>
                <w:szCs w:val="28"/>
                <w:lang w:val="en-US" w:eastAsia="ru-RU"/>
              </w:rPr>
            </w:pPr>
            <w:r>
              <w:rPr>
                <w:rFonts w:ascii="Times New Roman" w:hAnsi="Times New Roman" w:eastAsia="Times New Roman" w:cs="Times New Roman"/>
                <w:color w:val="000000"/>
                <w:sz w:val="28"/>
                <w:szCs w:val="28"/>
                <w:lang w:val="en-US" w:eastAsia="ru-RU"/>
              </w:rPr>
              <w:t>2.3.1</w:t>
            </w:r>
          </w:p>
        </w:tc>
        <w:tc>
          <w:tcPr>
            <w:tcW w:w="8167" w:type="dxa"/>
          </w:tcPr>
          <w:p w14:paraId="6415D4E1">
            <w:pPr>
              <w:widowControl w:val="0"/>
              <w:autoSpaceDE w:val="0"/>
              <w:autoSpaceDN w:val="0"/>
              <w:spacing w:after="0" w:line="276" w:lineRule="auto"/>
              <w:outlineLvl w:val="0"/>
              <w:rPr>
                <w:rFonts w:ascii="Times New Roman" w:hAnsi="Times New Roman" w:eastAsia="Times New Roman" w:cs="Times New Roman"/>
                <w:color w:val="000000"/>
                <w:sz w:val="28"/>
                <w:szCs w:val="28"/>
                <w:lang w:val="en-US" w:eastAsia="ru-RU"/>
              </w:rPr>
            </w:pPr>
            <w:r>
              <w:rPr>
                <w:rFonts w:ascii="Times New Roman" w:hAnsi="Times New Roman" w:eastAsia="Times New Roman" w:cs="Times New Roman"/>
                <w:color w:val="000000"/>
                <w:sz w:val="28"/>
                <w:szCs w:val="28"/>
                <w:lang w:val="en-US" w:eastAsia="ru-RU"/>
              </w:rPr>
              <w:t xml:space="preserve">Зеттеуге қатысқан жүктілерге сауалнама толтыруыды </w:t>
            </w:r>
          </w:p>
          <w:p w14:paraId="34949C2C">
            <w:pPr>
              <w:widowControl w:val="0"/>
              <w:autoSpaceDE w:val="0"/>
              <w:autoSpaceDN w:val="0"/>
              <w:spacing w:after="0" w:line="276" w:lineRule="auto"/>
              <w:outlineLvl w:val="0"/>
              <w:rPr>
                <w:rFonts w:ascii="Times New Roman" w:hAnsi="Times New Roman" w:eastAsia="Times New Roman" w:cs="Times New Roman"/>
                <w:color w:val="000000"/>
                <w:sz w:val="28"/>
                <w:szCs w:val="28"/>
                <w:lang w:val="en-US" w:eastAsia="ru-RU"/>
              </w:rPr>
            </w:pPr>
            <w:r>
              <w:rPr>
                <w:rFonts w:ascii="Times New Roman" w:hAnsi="Times New Roman" w:eastAsia="Times New Roman" w:cs="Times New Roman"/>
                <w:color w:val="000000"/>
                <w:sz w:val="28"/>
                <w:szCs w:val="28"/>
                <w:lang w:val="en-US" w:eastAsia="ru-RU"/>
              </w:rPr>
              <w:t>жүргізу барысы………………………………………………………….</w:t>
            </w:r>
          </w:p>
        </w:tc>
        <w:tc>
          <w:tcPr>
            <w:tcW w:w="795" w:type="dxa"/>
            <w:shd w:val="clear" w:color="auto" w:fill="FFFFFF" w:themeFill="background1"/>
          </w:tcPr>
          <w:p w14:paraId="4438150F">
            <w:pPr>
              <w:widowControl w:val="0"/>
              <w:autoSpaceDE w:val="0"/>
              <w:autoSpaceDN w:val="0"/>
              <w:spacing w:after="0" w:line="276" w:lineRule="auto"/>
              <w:jc w:val="both"/>
              <w:outlineLvl w:val="0"/>
              <w:rPr>
                <w:rFonts w:hint="default" w:ascii="Times New Roman" w:hAnsi="Times New Roman" w:eastAsia="Times New Roman" w:cs="Times New Roman"/>
                <w:sz w:val="28"/>
                <w:szCs w:val="28"/>
                <w:lang w:val="kk-KZ" w:eastAsia="ru-RU"/>
              </w:rPr>
            </w:pPr>
            <w:r>
              <w:rPr>
                <w:rFonts w:ascii="Times New Roman" w:hAnsi="Times New Roman" w:eastAsia="Times New Roman" w:cs="Times New Roman"/>
                <w:sz w:val="28"/>
                <w:szCs w:val="28"/>
                <w:lang w:val="en-US" w:eastAsia="ru-RU"/>
              </w:rPr>
              <w:t>3</w:t>
            </w:r>
            <w:r>
              <w:rPr>
                <w:rFonts w:hint="default" w:ascii="Times New Roman" w:hAnsi="Times New Roman" w:eastAsia="Times New Roman" w:cs="Times New Roman"/>
                <w:sz w:val="28"/>
                <w:szCs w:val="28"/>
                <w:lang w:val="kk-KZ" w:eastAsia="ru-RU"/>
              </w:rPr>
              <w:t>2</w:t>
            </w:r>
          </w:p>
        </w:tc>
      </w:tr>
      <w:tr w14:paraId="7CE3F170">
        <w:tblPrEx>
          <w:tblCellMar>
            <w:top w:w="15" w:type="dxa"/>
            <w:left w:w="15" w:type="dxa"/>
            <w:bottom w:w="15" w:type="dxa"/>
            <w:right w:w="15" w:type="dxa"/>
          </w:tblCellMar>
        </w:tblPrEx>
        <w:tc>
          <w:tcPr>
            <w:tcW w:w="900" w:type="dxa"/>
          </w:tcPr>
          <w:p w14:paraId="4D275955">
            <w:pPr>
              <w:widowControl w:val="0"/>
              <w:autoSpaceDE w:val="0"/>
              <w:autoSpaceDN w:val="0"/>
              <w:spacing w:after="0" w:line="276" w:lineRule="auto"/>
              <w:jc w:val="both"/>
              <w:outlineLvl w:val="0"/>
              <w:rPr>
                <w:rFonts w:ascii="Times New Roman" w:hAnsi="Times New Roman" w:eastAsia="Times New Roman" w:cs="Times New Roman"/>
                <w:color w:val="000000"/>
                <w:sz w:val="28"/>
                <w:szCs w:val="28"/>
                <w:lang w:val="en-US" w:eastAsia="ru-RU"/>
              </w:rPr>
            </w:pPr>
            <w:r>
              <w:rPr>
                <w:rFonts w:ascii="Times New Roman" w:hAnsi="Times New Roman" w:eastAsia="Times New Roman" w:cs="Times New Roman"/>
                <w:color w:val="000000"/>
                <w:sz w:val="28"/>
                <w:szCs w:val="28"/>
                <w:lang w:val="en-US" w:eastAsia="ru-RU"/>
              </w:rPr>
              <w:t>2.3.2</w:t>
            </w:r>
          </w:p>
        </w:tc>
        <w:tc>
          <w:tcPr>
            <w:tcW w:w="8167" w:type="dxa"/>
          </w:tcPr>
          <w:p w14:paraId="799B00FF">
            <w:pPr>
              <w:widowControl w:val="0"/>
              <w:autoSpaceDE w:val="0"/>
              <w:autoSpaceDN w:val="0"/>
              <w:spacing w:after="0" w:line="276" w:lineRule="auto"/>
              <w:outlineLvl w:val="0"/>
              <w:rPr>
                <w:rFonts w:ascii="Times New Roman" w:hAnsi="Times New Roman" w:eastAsia="Times New Roman" w:cs="Times New Roman"/>
                <w:color w:val="000000"/>
                <w:sz w:val="28"/>
                <w:szCs w:val="28"/>
                <w:lang w:val="en-US" w:eastAsia="ru-RU"/>
              </w:rPr>
            </w:pPr>
            <w:r>
              <w:rPr>
                <w:rFonts w:ascii="Times New Roman" w:hAnsi="Times New Roman" w:eastAsia="Times New Roman" w:cs="Times New Roman"/>
                <w:color w:val="000000"/>
                <w:sz w:val="28"/>
                <w:szCs w:val="28"/>
                <w:lang w:val="en-US" w:eastAsia="ru-RU"/>
              </w:rPr>
              <w:t>Клиникалық зерттеу әдістері…………………………………………..</w:t>
            </w:r>
          </w:p>
        </w:tc>
        <w:tc>
          <w:tcPr>
            <w:tcW w:w="795" w:type="dxa"/>
            <w:shd w:val="clear" w:color="auto" w:fill="FFFFFF" w:themeFill="background1"/>
          </w:tcPr>
          <w:p w14:paraId="4A821EC9">
            <w:pPr>
              <w:widowControl w:val="0"/>
              <w:autoSpaceDE w:val="0"/>
              <w:autoSpaceDN w:val="0"/>
              <w:spacing w:after="0" w:line="276" w:lineRule="auto"/>
              <w:jc w:val="both"/>
              <w:outlineLvl w:val="0"/>
              <w:rPr>
                <w:rFonts w:ascii="Times New Roman" w:hAnsi="Times New Roman" w:eastAsia="Times New Roman" w:cs="Times New Roman"/>
                <w:sz w:val="28"/>
                <w:szCs w:val="28"/>
                <w:lang w:val="kk-KZ" w:eastAsia="ru-RU"/>
              </w:rPr>
            </w:pPr>
            <w:r>
              <w:rPr>
                <w:rFonts w:ascii="Times New Roman" w:hAnsi="Times New Roman" w:eastAsia="Times New Roman" w:cs="Times New Roman"/>
                <w:sz w:val="28"/>
                <w:szCs w:val="28"/>
                <w:lang w:val="en-US" w:eastAsia="ru-RU"/>
              </w:rPr>
              <w:t>3</w:t>
            </w:r>
            <w:r>
              <w:rPr>
                <w:rFonts w:ascii="Times New Roman" w:hAnsi="Times New Roman" w:eastAsia="Times New Roman" w:cs="Times New Roman"/>
                <w:sz w:val="28"/>
                <w:szCs w:val="28"/>
                <w:lang w:val="kk-KZ" w:eastAsia="ru-RU"/>
              </w:rPr>
              <w:t>3</w:t>
            </w:r>
          </w:p>
        </w:tc>
      </w:tr>
      <w:tr w14:paraId="76E53B99">
        <w:tblPrEx>
          <w:tblCellMar>
            <w:top w:w="15" w:type="dxa"/>
            <w:left w:w="15" w:type="dxa"/>
            <w:bottom w:w="15" w:type="dxa"/>
            <w:right w:w="15" w:type="dxa"/>
          </w:tblCellMar>
        </w:tblPrEx>
        <w:tc>
          <w:tcPr>
            <w:tcW w:w="900" w:type="dxa"/>
          </w:tcPr>
          <w:p w14:paraId="4FB24F85">
            <w:pPr>
              <w:widowControl w:val="0"/>
              <w:autoSpaceDE w:val="0"/>
              <w:autoSpaceDN w:val="0"/>
              <w:spacing w:after="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2.3.3</w:t>
            </w:r>
          </w:p>
        </w:tc>
        <w:tc>
          <w:tcPr>
            <w:tcW w:w="8167" w:type="dxa"/>
          </w:tcPr>
          <w:p w14:paraId="06A188A5">
            <w:pPr>
              <w:widowControl w:val="0"/>
              <w:autoSpaceDE w:val="0"/>
              <w:autoSpaceDN w:val="0"/>
              <w:spacing w:after="0" w:line="276" w:lineRule="auto"/>
              <w:outlineLvl w:val="0"/>
              <w:rPr>
                <w:rFonts w:ascii="Times New Roman" w:hAnsi="Times New Roman" w:eastAsia="Times New Roman" w:cs="Times New Roman"/>
                <w:sz w:val="28"/>
                <w:szCs w:val="28"/>
                <w:lang w:val="kk-KZ" w:eastAsia="ru-RU"/>
              </w:rPr>
            </w:pPr>
            <w:r>
              <w:rPr>
                <w:rFonts w:ascii="Times New Roman" w:hAnsi="Times New Roman" w:eastAsia="Times New Roman" w:cs="Times New Roman"/>
                <w:sz w:val="28"/>
                <w:szCs w:val="28"/>
                <w:lang w:val="en-US" w:eastAsia="ru-RU"/>
              </w:rPr>
              <w:t>Дене салмағы индексінің өлшемі……………………………………</w:t>
            </w:r>
            <w:r>
              <w:rPr>
                <w:rFonts w:ascii="Times New Roman" w:hAnsi="Times New Roman" w:eastAsia="Times New Roman" w:cs="Times New Roman"/>
                <w:sz w:val="28"/>
                <w:szCs w:val="28"/>
                <w:lang w:val="kk-KZ" w:eastAsia="ru-RU"/>
              </w:rPr>
              <w:t>...</w:t>
            </w:r>
          </w:p>
        </w:tc>
        <w:tc>
          <w:tcPr>
            <w:tcW w:w="795" w:type="dxa"/>
            <w:shd w:val="clear" w:color="auto" w:fill="FFFFFF" w:themeFill="background1"/>
          </w:tcPr>
          <w:p w14:paraId="7E03E7EC">
            <w:pPr>
              <w:widowControl w:val="0"/>
              <w:autoSpaceDE w:val="0"/>
              <w:autoSpaceDN w:val="0"/>
              <w:spacing w:after="0" w:line="276" w:lineRule="auto"/>
              <w:jc w:val="both"/>
              <w:outlineLvl w:val="0"/>
              <w:rPr>
                <w:rFonts w:hint="default" w:ascii="Times New Roman" w:hAnsi="Times New Roman" w:eastAsia="Times New Roman" w:cs="Times New Roman"/>
                <w:sz w:val="28"/>
                <w:szCs w:val="28"/>
                <w:lang w:val="kk-KZ" w:eastAsia="ru-RU"/>
              </w:rPr>
            </w:pPr>
            <w:r>
              <w:rPr>
                <w:rFonts w:ascii="Times New Roman" w:hAnsi="Times New Roman" w:eastAsia="Times New Roman" w:cs="Times New Roman"/>
                <w:sz w:val="28"/>
                <w:szCs w:val="28"/>
                <w:lang w:val="en-US" w:eastAsia="ru-RU"/>
              </w:rPr>
              <w:t>3</w:t>
            </w:r>
            <w:r>
              <w:rPr>
                <w:rFonts w:hint="default" w:ascii="Times New Roman" w:hAnsi="Times New Roman" w:eastAsia="Times New Roman" w:cs="Times New Roman"/>
                <w:sz w:val="28"/>
                <w:szCs w:val="28"/>
                <w:lang w:val="kk-KZ" w:eastAsia="ru-RU"/>
              </w:rPr>
              <w:t>3</w:t>
            </w:r>
          </w:p>
        </w:tc>
      </w:tr>
      <w:tr w14:paraId="5D9A650C">
        <w:tblPrEx>
          <w:tblCellMar>
            <w:top w:w="15" w:type="dxa"/>
            <w:left w:w="15" w:type="dxa"/>
            <w:bottom w:w="15" w:type="dxa"/>
            <w:right w:w="15" w:type="dxa"/>
          </w:tblCellMar>
        </w:tblPrEx>
        <w:tc>
          <w:tcPr>
            <w:tcW w:w="900" w:type="dxa"/>
          </w:tcPr>
          <w:p w14:paraId="532C47F4">
            <w:pPr>
              <w:widowControl w:val="0"/>
              <w:autoSpaceDE w:val="0"/>
              <w:autoSpaceDN w:val="0"/>
              <w:spacing w:after="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2.3.4</w:t>
            </w:r>
          </w:p>
        </w:tc>
        <w:tc>
          <w:tcPr>
            <w:tcW w:w="8167" w:type="dxa"/>
          </w:tcPr>
          <w:p w14:paraId="64D140B8">
            <w:pPr>
              <w:widowControl w:val="0"/>
              <w:autoSpaceDE w:val="0"/>
              <w:autoSpaceDN w:val="0"/>
              <w:spacing w:after="0" w:line="276" w:lineRule="auto"/>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Клиникалық мәліметтерді жинау және талдау………………………..</w:t>
            </w:r>
          </w:p>
        </w:tc>
        <w:tc>
          <w:tcPr>
            <w:tcW w:w="795" w:type="dxa"/>
            <w:shd w:val="clear" w:color="auto" w:fill="FFFFFF" w:themeFill="background1"/>
          </w:tcPr>
          <w:p w14:paraId="4AACADF5">
            <w:pPr>
              <w:widowControl w:val="0"/>
              <w:autoSpaceDE w:val="0"/>
              <w:autoSpaceDN w:val="0"/>
              <w:spacing w:after="0" w:line="276" w:lineRule="auto"/>
              <w:jc w:val="both"/>
              <w:outlineLvl w:val="0"/>
              <w:rPr>
                <w:rFonts w:hint="default" w:ascii="Times New Roman" w:hAnsi="Times New Roman" w:eastAsia="Times New Roman" w:cs="Times New Roman"/>
                <w:sz w:val="28"/>
                <w:szCs w:val="28"/>
                <w:lang w:val="kk-KZ" w:eastAsia="ru-RU"/>
              </w:rPr>
            </w:pPr>
            <w:r>
              <w:rPr>
                <w:rFonts w:ascii="Times New Roman" w:hAnsi="Times New Roman" w:eastAsia="Times New Roman" w:cs="Times New Roman"/>
                <w:sz w:val="28"/>
                <w:szCs w:val="28"/>
                <w:lang w:val="kk-KZ" w:eastAsia="ru-RU"/>
              </w:rPr>
              <w:t>3</w:t>
            </w:r>
            <w:r>
              <w:rPr>
                <w:rFonts w:hint="default" w:ascii="Times New Roman" w:hAnsi="Times New Roman" w:eastAsia="Times New Roman" w:cs="Times New Roman"/>
                <w:sz w:val="28"/>
                <w:szCs w:val="28"/>
                <w:lang w:val="kk-KZ" w:eastAsia="ru-RU"/>
              </w:rPr>
              <w:t>3</w:t>
            </w:r>
          </w:p>
        </w:tc>
      </w:tr>
      <w:tr w14:paraId="72542234">
        <w:tblPrEx>
          <w:tblCellMar>
            <w:top w:w="15" w:type="dxa"/>
            <w:left w:w="15" w:type="dxa"/>
            <w:bottom w:w="15" w:type="dxa"/>
            <w:right w:w="15" w:type="dxa"/>
          </w:tblCellMar>
        </w:tblPrEx>
        <w:tc>
          <w:tcPr>
            <w:tcW w:w="900" w:type="dxa"/>
          </w:tcPr>
          <w:p w14:paraId="07235D6C">
            <w:pPr>
              <w:widowControl w:val="0"/>
              <w:autoSpaceDE w:val="0"/>
              <w:autoSpaceDN w:val="0"/>
              <w:spacing w:after="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2.4.</w:t>
            </w:r>
          </w:p>
        </w:tc>
        <w:tc>
          <w:tcPr>
            <w:tcW w:w="8167" w:type="dxa"/>
          </w:tcPr>
          <w:p w14:paraId="72C3A676">
            <w:pPr>
              <w:widowControl w:val="0"/>
              <w:autoSpaceDE w:val="0"/>
              <w:autoSpaceDN w:val="0"/>
              <w:spacing w:after="0" w:line="276" w:lineRule="auto"/>
              <w:outlineLvl w:val="0"/>
              <w:rPr>
                <w:rFonts w:ascii="Times New Roman" w:hAnsi="Times New Roman" w:eastAsia="等线 Light" w:cs="Times New Roman"/>
                <w:sz w:val="28"/>
                <w:szCs w:val="28"/>
                <w:lang w:val="en-US" w:eastAsia="ru-RU"/>
              </w:rPr>
            </w:pPr>
            <w:r>
              <w:rPr>
                <w:rFonts w:ascii="Times New Roman" w:hAnsi="Times New Roman" w:eastAsia="等线 Light" w:cs="Times New Roman"/>
                <w:sz w:val="28"/>
                <w:szCs w:val="28"/>
                <w:lang w:val="en-US" w:eastAsia="ru-RU"/>
              </w:rPr>
              <w:t xml:space="preserve">Маркерлерді ИФА әдісімен бағалау Гепсидин, </w:t>
            </w:r>
          </w:p>
          <w:p w14:paraId="56D5FFD7">
            <w:pPr>
              <w:widowControl w:val="0"/>
              <w:autoSpaceDE w:val="0"/>
              <w:autoSpaceDN w:val="0"/>
              <w:spacing w:after="0" w:line="276" w:lineRule="auto"/>
              <w:outlineLvl w:val="0"/>
              <w:rPr>
                <w:rFonts w:ascii="Times New Roman" w:hAnsi="Times New Roman" w:eastAsia="等线 Light" w:cs="Times New Roman"/>
                <w:sz w:val="28"/>
                <w:szCs w:val="28"/>
                <w:lang w:val="en-US" w:eastAsia="ru-RU"/>
              </w:rPr>
            </w:pPr>
            <w:r>
              <w:rPr>
                <w:rFonts w:ascii="Times New Roman" w:hAnsi="Times New Roman" w:eastAsia="等线 Light" w:cs="Times New Roman"/>
                <w:sz w:val="28"/>
                <w:szCs w:val="28"/>
                <w:lang w:val="en-US" w:eastAsia="ru-RU"/>
              </w:rPr>
              <w:t xml:space="preserve">эритропоэтин Интерлейкин–6, С–реактивті ақуызды, </w:t>
            </w:r>
          </w:p>
          <w:p w14:paraId="6AC4C86C">
            <w:pPr>
              <w:widowControl w:val="0"/>
              <w:autoSpaceDE w:val="0"/>
              <w:autoSpaceDN w:val="0"/>
              <w:spacing w:after="0" w:line="276" w:lineRule="auto"/>
              <w:outlineLvl w:val="0"/>
              <w:rPr>
                <w:rFonts w:ascii="Times New Roman" w:hAnsi="Times New Roman" w:eastAsia="等线 Light" w:cs="Times New Roman"/>
                <w:sz w:val="28"/>
                <w:szCs w:val="28"/>
                <w:lang w:val="en-US" w:eastAsia="ru-RU"/>
              </w:rPr>
            </w:pPr>
            <w:r>
              <w:rPr>
                <w:rFonts w:ascii="Times New Roman" w:hAnsi="Times New Roman" w:eastAsia="等线 Light" w:cs="Times New Roman"/>
                <w:sz w:val="28"/>
                <w:szCs w:val="28"/>
                <w:lang w:val="en-US" w:eastAsia="ru-RU"/>
              </w:rPr>
              <w:t>ферритинді ИФА әдісімен бағалау…………………………………….</w:t>
            </w:r>
          </w:p>
        </w:tc>
        <w:tc>
          <w:tcPr>
            <w:tcW w:w="795" w:type="dxa"/>
            <w:shd w:val="clear" w:color="auto" w:fill="FFFFFF" w:themeFill="background1"/>
          </w:tcPr>
          <w:p w14:paraId="1A49D7F7">
            <w:pPr>
              <w:widowControl w:val="0"/>
              <w:autoSpaceDE w:val="0"/>
              <w:autoSpaceDN w:val="0"/>
              <w:spacing w:after="0" w:line="276" w:lineRule="auto"/>
              <w:jc w:val="both"/>
              <w:outlineLvl w:val="0"/>
              <w:rPr>
                <w:rFonts w:ascii="Times New Roman" w:hAnsi="Times New Roman" w:eastAsia="Times New Roman" w:cs="Times New Roman"/>
                <w:sz w:val="28"/>
                <w:szCs w:val="28"/>
                <w:lang w:val="en-US" w:eastAsia="ru-RU"/>
              </w:rPr>
            </w:pPr>
          </w:p>
          <w:p w14:paraId="1DEED475">
            <w:pPr>
              <w:widowControl w:val="0"/>
              <w:autoSpaceDE w:val="0"/>
              <w:autoSpaceDN w:val="0"/>
              <w:spacing w:after="0" w:line="276" w:lineRule="auto"/>
              <w:jc w:val="both"/>
              <w:outlineLvl w:val="0"/>
              <w:rPr>
                <w:rFonts w:ascii="Times New Roman" w:hAnsi="Times New Roman" w:eastAsia="Times New Roman" w:cs="Times New Roman"/>
                <w:sz w:val="28"/>
                <w:szCs w:val="28"/>
                <w:lang w:val="en-US" w:eastAsia="ru-RU"/>
              </w:rPr>
            </w:pPr>
          </w:p>
          <w:p w14:paraId="6E59490B">
            <w:pPr>
              <w:widowControl w:val="0"/>
              <w:autoSpaceDE w:val="0"/>
              <w:autoSpaceDN w:val="0"/>
              <w:spacing w:after="0" w:line="276" w:lineRule="auto"/>
              <w:jc w:val="both"/>
              <w:outlineLvl w:val="0"/>
              <w:rPr>
                <w:rFonts w:hint="default" w:ascii="Times New Roman" w:hAnsi="Times New Roman" w:eastAsia="Times New Roman" w:cs="Times New Roman"/>
                <w:sz w:val="28"/>
                <w:szCs w:val="28"/>
                <w:lang w:val="kk-KZ" w:eastAsia="ru-RU"/>
              </w:rPr>
            </w:pPr>
            <w:r>
              <w:rPr>
                <w:rFonts w:ascii="Times New Roman" w:hAnsi="Times New Roman" w:eastAsia="Times New Roman" w:cs="Times New Roman"/>
                <w:sz w:val="28"/>
                <w:szCs w:val="28"/>
                <w:lang w:val="en-US" w:eastAsia="ru-RU"/>
              </w:rPr>
              <w:t>3</w:t>
            </w:r>
            <w:r>
              <w:rPr>
                <w:rFonts w:hint="default" w:ascii="Times New Roman" w:hAnsi="Times New Roman" w:eastAsia="Times New Roman" w:cs="Times New Roman"/>
                <w:sz w:val="28"/>
                <w:szCs w:val="28"/>
                <w:lang w:val="kk-KZ" w:eastAsia="ru-RU"/>
              </w:rPr>
              <w:t>4</w:t>
            </w:r>
          </w:p>
        </w:tc>
      </w:tr>
      <w:tr w14:paraId="727ADE25">
        <w:tblPrEx>
          <w:tblCellMar>
            <w:top w:w="15" w:type="dxa"/>
            <w:left w:w="15" w:type="dxa"/>
            <w:bottom w:w="15" w:type="dxa"/>
            <w:right w:w="15" w:type="dxa"/>
          </w:tblCellMar>
        </w:tblPrEx>
        <w:tc>
          <w:tcPr>
            <w:tcW w:w="900" w:type="dxa"/>
          </w:tcPr>
          <w:p w14:paraId="20B124CC">
            <w:pPr>
              <w:widowControl w:val="0"/>
              <w:autoSpaceDE w:val="0"/>
              <w:autoSpaceDN w:val="0"/>
              <w:spacing w:after="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2.4.1</w:t>
            </w:r>
          </w:p>
        </w:tc>
        <w:tc>
          <w:tcPr>
            <w:tcW w:w="8167" w:type="dxa"/>
          </w:tcPr>
          <w:p w14:paraId="46DD5BFC">
            <w:pPr>
              <w:widowControl w:val="0"/>
              <w:autoSpaceDE w:val="0"/>
              <w:autoSpaceDN w:val="0"/>
              <w:spacing w:after="0" w:line="276" w:lineRule="auto"/>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Қажетті материалдардың тізімі………………………………………..</w:t>
            </w:r>
          </w:p>
        </w:tc>
        <w:tc>
          <w:tcPr>
            <w:tcW w:w="795" w:type="dxa"/>
            <w:shd w:val="clear" w:color="auto" w:fill="FFFFFF" w:themeFill="background1"/>
          </w:tcPr>
          <w:p w14:paraId="351E9D07">
            <w:pPr>
              <w:widowControl w:val="0"/>
              <w:autoSpaceDE w:val="0"/>
              <w:autoSpaceDN w:val="0"/>
              <w:spacing w:after="0" w:line="276" w:lineRule="auto"/>
              <w:jc w:val="both"/>
              <w:outlineLvl w:val="0"/>
              <w:rPr>
                <w:rFonts w:hint="default" w:ascii="Times New Roman" w:hAnsi="Times New Roman" w:eastAsia="Times New Roman" w:cs="Times New Roman"/>
                <w:sz w:val="28"/>
                <w:szCs w:val="28"/>
                <w:lang w:val="kk-KZ" w:eastAsia="ru-RU"/>
              </w:rPr>
            </w:pPr>
            <w:r>
              <w:rPr>
                <w:rFonts w:ascii="Times New Roman" w:hAnsi="Times New Roman" w:eastAsia="Times New Roman" w:cs="Times New Roman"/>
                <w:sz w:val="28"/>
                <w:szCs w:val="28"/>
                <w:lang w:val="en-US" w:eastAsia="ru-RU"/>
              </w:rPr>
              <w:t>3</w:t>
            </w:r>
            <w:r>
              <w:rPr>
                <w:rFonts w:hint="default" w:ascii="Times New Roman" w:hAnsi="Times New Roman" w:eastAsia="Times New Roman" w:cs="Times New Roman"/>
                <w:sz w:val="28"/>
                <w:szCs w:val="28"/>
                <w:lang w:val="kk-KZ" w:eastAsia="ru-RU"/>
              </w:rPr>
              <w:t>4</w:t>
            </w:r>
          </w:p>
        </w:tc>
      </w:tr>
      <w:tr w14:paraId="65C38CC8">
        <w:tblPrEx>
          <w:tblCellMar>
            <w:top w:w="15" w:type="dxa"/>
            <w:left w:w="15" w:type="dxa"/>
            <w:bottom w:w="15" w:type="dxa"/>
            <w:right w:w="15" w:type="dxa"/>
          </w:tblCellMar>
        </w:tblPrEx>
        <w:tc>
          <w:tcPr>
            <w:tcW w:w="900" w:type="dxa"/>
          </w:tcPr>
          <w:p w14:paraId="6EA93204">
            <w:pPr>
              <w:widowControl w:val="0"/>
              <w:autoSpaceDE w:val="0"/>
              <w:autoSpaceDN w:val="0"/>
              <w:spacing w:after="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2.4.2</w:t>
            </w:r>
          </w:p>
        </w:tc>
        <w:tc>
          <w:tcPr>
            <w:tcW w:w="8167" w:type="dxa"/>
          </w:tcPr>
          <w:p w14:paraId="6BF0B7F7">
            <w:pPr>
              <w:widowControl w:val="0"/>
              <w:autoSpaceDE w:val="0"/>
              <w:autoSpaceDN w:val="0"/>
              <w:spacing w:after="0" w:line="276" w:lineRule="auto"/>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Реагенттерді дайындап алу…………………………………………….</w:t>
            </w:r>
          </w:p>
        </w:tc>
        <w:tc>
          <w:tcPr>
            <w:tcW w:w="795" w:type="dxa"/>
            <w:shd w:val="clear" w:color="auto" w:fill="FFFFFF" w:themeFill="background1"/>
          </w:tcPr>
          <w:p w14:paraId="0CCE69F5">
            <w:pPr>
              <w:widowControl w:val="0"/>
              <w:autoSpaceDE w:val="0"/>
              <w:autoSpaceDN w:val="0"/>
              <w:spacing w:after="0" w:line="276" w:lineRule="auto"/>
              <w:jc w:val="both"/>
              <w:outlineLvl w:val="0"/>
              <w:rPr>
                <w:rFonts w:ascii="Times New Roman" w:hAnsi="Times New Roman" w:eastAsia="Times New Roman" w:cs="Times New Roman"/>
                <w:sz w:val="28"/>
                <w:szCs w:val="28"/>
                <w:lang w:val="kk-KZ" w:eastAsia="ru-RU"/>
              </w:rPr>
            </w:pPr>
            <w:r>
              <w:rPr>
                <w:rFonts w:ascii="Times New Roman" w:hAnsi="Times New Roman" w:eastAsia="Times New Roman" w:cs="Times New Roman"/>
                <w:sz w:val="28"/>
                <w:szCs w:val="28"/>
                <w:lang w:val="en-US" w:eastAsia="ru-RU"/>
              </w:rPr>
              <w:t>3</w:t>
            </w:r>
            <w:r>
              <w:rPr>
                <w:rFonts w:ascii="Times New Roman" w:hAnsi="Times New Roman" w:eastAsia="Times New Roman" w:cs="Times New Roman"/>
                <w:sz w:val="28"/>
                <w:szCs w:val="28"/>
                <w:lang w:val="kk-KZ" w:eastAsia="ru-RU"/>
              </w:rPr>
              <w:t>5</w:t>
            </w:r>
          </w:p>
        </w:tc>
      </w:tr>
      <w:tr w14:paraId="29F8A5D5">
        <w:tblPrEx>
          <w:tblCellMar>
            <w:top w:w="15" w:type="dxa"/>
            <w:left w:w="15" w:type="dxa"/>
            <w:bottom w:w="15" w:type="dxa"/>
            <w:right w:w="15" w:type="dxa"/>
          </w:tblCellMar>
        </w:tblPrEx>
        <w:tc>
          <w:tcPr>
            <w:tcW w:w="900" w:type="dxa"/>
          </w:tcPr>
          <w:p w14:paraId="19FCB804">
            <w:pPr>
              <w:widowControl w:val="0"/>
              <w:shd w:val="clear" w:color="auto" w:fill="FFFFFF" w:themeFill="background1"/>
              <w:autoSpaceDE w:val="0"/>
              <w:autoSpaceDN w:val="0"/>
              <w:spacing w:after="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2.4.3</w:t>
            </w:r>
          </w:p>
        </w:tc>
        <w:tc>
          <w:tcPr>
            <w:tcW w:w="8167" w:type="dxa"/>
          </w:tcPr>
          <w:p w14:paraId="0F2C1F63">
            <w:pPr>
              <w:widowControl w:val="0"/>
              <w:shd w:val="clear" w:color="auto" w:fill="FFFFFF" w:themeFill="background1"/>
              <w:autoSpaceDE w:val="0"/>
              <w:autoSpaceDN w:val="0"/>
              <w:spacing w:after="0" w:line="276" w:lineRule="auto"/>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 xml:space="preserve">Үлгіні дайындап </w:t>
            </w:r>
            <w:r>
              <w:rPr>
                <w:rFonts w:ascii="Times New Roman" w:hAnsi="Times New Roman" w:eastAsia="Times New Roman" w:cs="Times New Roman"/>
                <w:sz w:val="28"/>
                <w:szCs w:val="28"/>
                <w:lang w:val="kk-KZ" w:eastAsia="ru-RU"/>
              </w:rPr>
              <w:t>а</w:t>
            </w:r>
            <w:r>
              <w:rPr>
                <w:rFonts w:ascii="Times New Roman" w:hAnsi="Times New Roman" w:eastAsia="Times New Roman" w:cs="Times New Roman"/>
                <w:sz w:val="28"/>
                <w:szCs w:val="28"/>
                <w:lang w:val="en-US" w:eastAsia="ru-RU"/>
              </w:rPr>
              <w:t>лу……………………………………………………</w:t>
            </w:r>
          </w:p>
        </w:tc>
        <w:tc>
          <w:tcPr>
            <w:tcW w:w="795" w:type="dxa"/>
            <w:shd w:val="clear" w:color="auto" w:fill="FFFFFF" w:themeFill="background1"/>
          </w:tcPr>
          <w:p w14:paraId="2ABCD9B4">
            <w:pPr>
              <w:widowControl w:val="0"/>
              <w:shd w:val="clear" w:color="auto" w:fill="FFFFFF" w:themeFill="background1"/>
              <w:autoSpaceDE w:val="0"/>
              <w:autoSpaceDN w:val="0"/>
              <w:spacing w:after="0" w:line="276" w:lineRule="auto"/>
              <w:jc w:val="both"/>
              <w:outlineLvl w:val="0"/>
              <w:rPr>
                <w:rFonts w:ascii="Times New Roman" w:hAnsi="Times New Roman" w:eastAsia="Times New Roman" w:cs="Times New Roman"/>
                <w:sz w:val="28"/>
                <w:szCs w:val="28"/>
                <w:lang w:val="kk-KZ" w:eastAsia="ru-RU"/>
              </w:rPr>
            </w:pPr>
            <w:r>
              <w:rPr>
                <w:rFonts w:ascii="Times New Roman" w:hAnsi="Times New Roman" w:eastAsia="Times New Roman" w:cs="Times New Roman"/>
                <w:sz w:val="28"/>
                <w:szCs w:val="28"/>
                <w:lang w:val="kk-KZ" w:eastAsia="ru-RU"/>
              </w:rPr>
              <w:t>38</w:t>
            </w:r>
          </w:p>
        </w:tc>
      </w:tr>
      <w:tr w14:paraId="48CA780F">
        <w:tblPrEx>
          <w:tblCellMar>
            <w:top w:w="15" w:type="dxa"/>
            <w:left w:w="15" w:type="dxa"/>
            <w:bottom w:w="15" w:type="dxa"/>
            <w:right w:w="15" w:type="dxa"/>
          </w:tblCellMar>
        </w:tblPrEx>
        <w:tc>
          <w:tcPr>
            <w:tcW w:w="900" w:type="dxa"/>
          </w:tcPr>
          <w:p w14:paraId="42FEB53E">
            <w:pPr>
              <w:widowControl w:val="0"/>
              <w:shd w:val="clear" w:color="auto" w:fill="FFFFFF" w:themeFill="background1"/>
              <w:autoSpaceDE w:val="0"/>
              <w:autoSpaceDN w:val="0"/>
              <w:spacing w:after="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2.4.4</w:t>
            </w:r>
          </w:p>
        </w:tc>
        <w:tc>
          <w:tcPr>
            <w:tcW w:w="8167" w:type="dxa"/>
          </w:tcPr>
          <w:p w14:paraId="407BF5B2">
            <w:pPr>
              <w:widowControl w:val="0"/>
              <w:shd w:val="clear" w:color="auto" w:fill="FFFFFF" w:themeFill="background1"/>
              <w:autoSpaceDE w:val="0"/>
              <w:autoSpaceDN w:val="0"/>
              <w:spacing w:after="0" w:line="276" w:lineRule="auto"/>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Талдау жүргізу іс–шарасы……………………………………………...</w:t>
            </w:r>
          </w:p>
        </w:tc>
        <w:tc>
          <w:tcPr>
            <w:tcW w:w="795" w:type="dxa"/>
            <w:shd w:val="clear" w:color="auto" w:fill="FFFFFF" w:themeFill="background1"/>
          </w:tcPr>
          <w:p w14:paraId="6E8D9643">
            <w:pPr>
              <w:widowControl w:val="0"/>
              <w:shd w:val="clear" w:color="auto" w:fill="FFFFFF" w:themeFill="background1"/>
              <w:autoSpaceDE w:val="0"/>
              <w:autoSpaceDN w:val="0"/>
              <w:spacing w:after="0" w:line="276" w:lineRule="auto"/>
              <w:jc w:val="both"/>
              <w:outlineLvl w:val="0"/>
              <w:rPr>
                <w:rFonts w:ascii="Times New Roman" w:hAnsi="Times New Roman" w:eastAsia="Times New Roman" w:cs="Times New Roman"/>
                <w:sz w:val="28"/>
                <w:szCs w:val="28"/>
                <w:lang w:val="kk-KZ" w:eastAsia="ru-RU"/>
              </w:rPr>
            </w:pPr>
            <w:r>
              <w:rPr>
                <w:rFonts w:ascii="Times New Roman" w:hAnsi="Times New Roman" w:eastAsia="Times New Roman" w:cs="Times New Roman"/>
                <w:sz w:val="28"/>
                <w:szCs w:val="28"/>
                <w:lang w:val="kk-KZ" w:eastAsia="ru-RU"/>
              </w:rPr>
              <w:t>39</w:t>
            </w:r>
          </w:p>
        </w:tc>
      </w:tr>
      <w:tr w14:paraId="3A90F034">
        <w:tblPrEx>
          <w:tblCellMar>
            <w:top w:w="15" w:type="dxa"/>
            <w:left w:w="15" w:type="dxa"/>
            <w:bottom w:w="15" w:type="dxa"/>
            <w:right w:w="15" w:type="dxa"/>
          </w:tblCellMar>
        </w:tblPrEx>
        <w:tc>
          <w:tcPr>
            <w:tcW w:w="900" w:type="dxa"/>
          </w:tcPr>
          <w:p w14:paraId="1A6CAAB2">
            <w:pPr>
              <w:widowControl w:val="0"/>
              <w:shd w:val="clear" w:color="auto" w:fill="FFFFFF" w:themeFill="background1"/>
              <w:autoSpaceDE w:val="0"/>
              <w:autoSpaceDN w:val="0"/>
              <w:spacing w:after="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2.4.5</w:t>
            </w:r>
          </w:p>
        </w:tc>
        <w:tc>
          <w:tcPr>
            <w:tcW w:w="8167" w:type="dxa"/>
          </w:tcPr>
          <w:p w14:paraId="55DD40EF">
            <w:pPr>
              <w:widowControl w:val="0"/>
              <w:shd w:val="clear" w:color="auto" w:fill="FFFFFF" w:themeFill="background1"/>
              <w:autoSpaceDE w:val="0"/>
              <w:autoSpaceDN w:val="0"/>
              <w:spacing w:after="0" w:line="276" w:lineRule="auto"/>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Тесттің принципі………………………………………………………..</w:t>
            </w:r>
          </w:p>
        </w:tc>
        <w:tc>
          <w:tcPr>
            <w:tcW w:w="795" w:type="dxa"/>
            <w:shd w:val="clear" w:color="auto" w:fill="FFFFFF" w:themeFill="background1"/>
          </w:tcPr>
          <w:p w14:paraId="2410FB99">
            <w:pPr>
              <w:widowControl w:val="0"/>
              <w:shd w:val="clear" w:color="auto" w:fill="FFFFFF" w:themeFill="background1"/>
              <w:autoSpaceDE w:val="0"/>
              <w:autoSpaceDN w:val="0"/>
              <w:spacing w:after="0" w:line="276" w:lineRule="auto"/>
              <w:jc w:val="both"/>
              <w:outlineLvl w:val="0"/>
              <w:rPr>
                <w:rFonts w:ascii="Times New Roman" w:hAnsi="Times New Roman" w:eastAsia="Times New Roman" w:cs="Times New Roman"/>
                <w:sz w:val="28"/>
                <w:szCs w:val="28"/>
                <w:lang w:val="kk-KZ" w:eastAsia="ru-RU"/>
              </w:rPr>
            </w:pPr>
            <w:r>
              <w:rPr>
                <w:rFonts w:ascii="Times New Roman" w:hAnsi="Times New Roman" w:eastAsia="Times New Roman" w:cs="Times New Roman"/>
                <w:sz w:val="28"/>
                <w:szCs w:val="28"/>
                <w:lang w:val="kk-KZ" w:eastAsia="ru-RU"/>
              </w:rPr>
              <w:t>41</w:t>
            </w:r>
          </w:p>
        </w:tc>
      </w:tr>
      <w:tr w14:paraId="412D1D3E">
        <w:tblPrEx>
          <w:tblCellMar>
            <w:top w:w="15" w:type="dxa"/>
            <w:left w:w="15" w:type="dxa"/>
            <w:bottom w:w="15" w:type="dxa"/>
            <w:right w:w="15" w:type="dxa"/>
          </w:tblCellMar>
        </w:tblPrEx>
        <w:tc>
          <w:tcPr>
            <w:tcW w:w="900" w:type="dxa"/>
          </w:tcPr>
          <w:p w14:paraId="655BC9A3">
            <w:pPr>
              <w:widowControl w:val="0"/>
              <w:shd w:val="clear" w:color="auto" w:fill="FFFFFF" w:themeFill="background1"/>
              <w:autoSpaceDE w:val="0"/>
              <w:autoSpaceDN w:val="0"/>
              <w:spacing w:after="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2.4.6</w:t>
            </w:r>
          </w:p>
        </w:tc>
        <w:tc>
          <w:tcPr>
            <w:tcW w:w="8167" w:type="dxa"/>
          </w:tcPr>
          <w:p w14:paraId="0D536EC0">
            <w:pPr>
              <w:widowControl w:val="0"/>
              <w:shd w:val="clear" w:color="auto" w:fill="FFFFFF" w:themeFill="background1"/>
              <w:autoSpaceDE w:val="0"/>
              <w:autoSpaceDN w:val="0"/>
              <w:spacing w:after="0" w:line="276" w:lineRule="auto"/>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Зерттеу нәтижелерін есептеу…………………………………………..</w:t>
            </w:r>
          </w:p>
        </w:tc>
        <w:tc>
          <w:tcPr>
            <w:tcW w:w="795" w:type="dxa"/>
            <w:shd w:val="clear" w:color="auto" w:fill="FFFFFF" w:themeFill="background1"/>
          </w:tcPr>
          <w:p w14:paraId="54CC6AE1">
            <w:pPr>
              <w:widowControl w:val="0"/>
              <w:shd w:val="clear" w:color="auto" w:fill="FFFFFF" w:themeFill="background1"/>
              <w:autoSpaceDE w:val="0"/>
              <w:autoSpaceDN w:val="0"/>
              <w:spacing w:after="0" w:line="276" w:lineRule="auto"/>
              <w:jc w:val="both"/>
              <w:outlineLvl w:val="0"/>
              <w:rPr>
                <w:rFonts w:hint="default" w:ascii="Times New Roman" w:hAnsi="Times New Roman" w:eastAsia="Times New Roman" w:cs="Times New Roman"/>
                <w:sz w:val="28"/>
                <w:szCs w:val="28"/>
                <w:lang w:val="kk-KZ" w:eastAsia="ru-RU"/>
              </w:rPr>
            </w:pPr>
            <w:r>
              <w:rPr>
                <w:rFonts w:ascii="Times New Roman" w:hAnsi="Times New Roman" w:eastAsia="Times New Roman" w:cs="Times New Roman"/>
                <w:sz w:val="28"/>
                <w:szCs w:val="28"/>
                <w:lang w:val="en-US" w:eastAsia="ru-RU"/>
              </w:rPr>
              <w:t>4</w:t>
            </w:r>
            <w:r>
              <w:rPr>
                <w:rFonts w:hint="default" w:ascii="Times New Roman" w:hAnsi="Times New Roman" w:eastAsia="Times New Roman" w:cs="Times New Roman"/>
                <w:sz w:val="28"/>
                <w:szCs w:val="28"/>
                <w:lang w:val="kk-KZ" w:eastAsia="ru-RU"/>
              </w:rPr>
              <w:t>1</w:t>
            </w:r>
          </w:p>
        </w:tc>
      </w:tr>
      <w:tr w14:paraId="5113A61A">
        <w:tblPrEx>
          <w:tblCellMar>
            <w:top w:w="15" w:type="dxa"/>
            <w:left w:w="15" w:type="dxa"/>
            <w:bottom w:w="15" w:type="dxa"/>
            <w:right w:w="15" w:type="dxa"/>
          </w:tblCellMar>
        </w:tblPrEx>
        <w:tc>
          <w:tcPr>
            <w:tcW w:w="900" w:type="dxa"/>
          </w:tcPr>
          <w:p w14:paraId="7AC7B5C0">
            <w:pPr>
              <w:widowControl w:val="0"/>
              <w:shd w:val="clear" w:color="auto" w:fill="FFFFFF" w:themeFill="background1"/>
              <w:autoSpaceDE w:val="0"/>
              <w:autoSpaceDN w:val="0"/>
              <w:spacing w:after="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2.5</w:t>
            </w:r>
          </w:p>
        </w:tc>
        <w:tc>
          <w:tcPr>
            <w:tcW w:w="8167" w:type="dxa"/>
          </w:tcPr>
          <w:p w14:paraId="5A948BF9">
            <w:pPr>
              <w:widowControl w:val="0"/>
              <w:shd w:val="clear" w:color="auto" w:fill="FFFFFF" w:themeFill="background1"/>
              <w:autoSpaceDE w:val="0"/>
              <w:autoSpaceDN w:val="0"/>
              <w:spacing w:after="0" w:line="276" w:lineRule="auto"/>
              <w:outlineLvl w:val="0"/>
              <w:rPr>
                <w:rFonts w:ascii="Times New Roman" w:hAnsi="Times New Roman" w:eastAsia="Times New Roman" w:cs="Times New Roman"/>
                <w:color w:val="000000"/>
                <w:sz w:val="28"/>
                <w:szCs w:val="28"/>
                <w:lang w:val="en-US" w:eastAsia="ru-RU"/>
              </w:rPr>
            </w:pPr>
            <w:r>
              <w:rPr>
                <w:rFonts w:ascii="Times New Roman" w:hAnsi="Times New Roman" w:eastAsia="Times New Roman" w:cs="Times New Roman"/>
                <w:color w:val="000000"/>
                <w:sz w:val="28"/>
                <w:szCs w:val="28"/>
                <w:lang w:val="en-US" w:eastAsia="ru-RU"/>
              </w:rPr>
              <w:t xml:space="preserve">Зерттеу жұмысының нәтижелері бойынша статистикалық </w:t>
            </w:r>
          </w:p>
          <w:p w14:paraId="0FCAA7CD">
            <w:pPr>
              <w:widowControl w:val="0"/>
              <w:shd w:val="clear" w:color="auto" w:fill="FFFFFF" w:themeFill="background1"/>
              <w:autoSpaceDE w:val="0"/>
              <w:autoSpaceDN w:val="0"/>
              <w:spacing w:after="0" w:line="276" w:lineRule="auto"/>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color w:val="000000"/>
                <w:sz w:val="28"/>
                <w:szCs w:val="28"/>
                <w:lang w:val="en-US" w:eastAsia="ru-RU"/>
              </w:rPr>
              <w:t>талдау жүргізу жұмыстары…………………………………………….</w:t>
            </w:r>
          </w:p>
        </w:tc>
        <w:tc>
          <w:tcPr>
            <w:tcW w:w="795" w:type="dxa"/>
            <w:shd w:val="clear" w:color="auto" w:fill="FFFFFF" w:themeFill="background1"/>
          </w:tcPr>
          <w:p w14:paraId="6C941CDE">
            <w:pPr>
              <w:widowControl w:val="0"/>
              <w:shd w:val="clear" w:color="auto" w:fill="FFFFFF" w:themeFill="background1"/>
              <w:autoSpaceDE w:val="0"/>
              <w:autoSpaceDN w:val="0"/>
              <w:spacing w:after="0" w:line="276" w:lineRule="auto"/>
              <w:jc w:val="both"/>
              <w:outlineLvl w:val="0"/>
              <w:rPr>
                <w:rFonts w:ascii="Times New Roman" w:hAnsi="Times New Roman" w:eastAsia="Times New Roman" w:cs="Times New Roman"/>
                <w:sz w:val="28"/>
                <w:szCs w:val="28"/>
                <w:lang w:val="en-US" w:eastAsia="ru-RU"/>
              </w:rPr>
            </w:pPr>
          </w:p>
          <w:p w14:paraId="09244FBC">
            <w:pPr>
              <w:widowControl w:val="0"/>
              <w:shd w:val="clear" w:color="auto" w:fill="FFFFFF" w:themeFill="background1"/>
              <w:autoSpaceDE w:val="0"/>
              <w:autoSpaceDN w:val="0"/>
              <w:spacing w:after="0" w:line="276" w:lineRule="auto"/>
              <w:jc w:val="both"/>
              <w:outlineLvl w:val="0"/>
              <w:rPr>
                <w:rFonts w:hint="default" w:ascii="Times New Roman" w:hAnsi="Times New Roman" w:eastAsia="Times New Roman" w:cs="Times New Roman"/>
                <w:sz w:val="28"/>
                <w:szCs w:val="28"/>
                <w:lang w:val="kk-KZ" w:eastAsia="ru-RU"/>
              </w:rPr>
            </w:pPr>
            <w:r>
              <w:rPr>
                <w:rFonts w:ascii="Times New Roman" w:hAnsi="Times New Roman" w:eastAsia="Times New Roman" w:cs="Times New Roman"/>
                <w:sz w:val="28"/>
                <w:szCs w:val="28"/>
                <w:lang w:val="en-US" w:eastAsia="ru-RU"/>
              </w:rPr>
              <w:t>4</w:t>
            </w:r>
            <w:r>
              <w:rPr>
                <w:rFonts w:hint="default" w:ascii="Times New Roman" w:hAnsi="Times New Roman" w:eastAsia="Times New Roman" w:cs="Times New Roman"/>
                <w:sz w:val="28"/>
                <w:szCs w:val="28"/>
                <w:lang w:val="kk-KZ" w:eastAsia="ru-RU"/>
              </w:rPr>
              <w:t>2</w:t>
            </w:r>
          </w:p>
        </w:tc>
      </w:tr>
      <w:tr w14:paraId="2B38B97F">
        <w:tblPrEx>
          <w:tblCellMar>
            <w:top w:w="15" w:type="dxa"/>
            <w:left w:w="15" w:type="dxa"/>
            <w:bottom w:w="15" w:type="dxa"/>
            <w:right w:w="15" w:type="dxa"/>
          </w:tblCellMar>
        </w:tblPrEx>
        <w:tc>
          <w:tcPr>
            <w:tcW w:w="900" w:type="dxa"/>
          </w:tcPr>
          <w:p w14:paraId="79D8263B">
            <w:pPr>
              <w:widowControl w:val="0"/>
              <w:shd w:val="clear" w:color="auto" w:fill="FFFFFF" w:themeFill="background1"/>
              <w:autoSpaceDE w:val="0"/>
              <w:autoSpaceDN w:val="0"/>
              <w:spacing w:after="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2.6</w:t>
            </w:r>
          </w:p>
        </w:tc>
        <w:tc>
          <w:tcPr>
            <w:tcW w:w="8167" w:type="dxa"/>
          </w:tcPr>
          <w:p w14:paraId="743FB01F">
            <w:pPr>
              <w:widowControl w:val="0"/>
              <w:shd w:val="clear" w:color="auto" w:fill="FFFFFF" w:themeFill="background1"/>
              <w:autoSpaceDE w:val="0"/>
              <w:autoSpaceDN w:val="0"/>
              <w:spacing w:after="0" w:line="276" w:lineRule="auto"/>
              <w:outlineLvl w:val="0"/>
              <w:rPr>
                <w:rFonts w:ascii="Times New Roman" w:hAnsi="Times New Roman" w:eastAsia="Times New Roman" w:cs="Times New Roman"/>
                <w:sz w:val="28"/>
                <w:szCs w:val="28"/>
                <w:lang w:val="kk-KZ" w:eastAsia="ru-RU"/>
              </w:rPr>
            </w:pPr>
            <w:r>
              <w:rPr>
                <w:rFonts w:ascii="Times New Roman" w:hAnsi="Times New Roman" w:eastAsia="Times New Roman" w:cs="Times New Roman"/>
                <w:color w:val="000000"/>
                <w:sz w:val="28"/>
                <w:szCs w:val="28"/>
                <w:lang w:val="en-US" w:eastAsia="ru-RU"/>
              </w:rPr>
              <w:t>Зерттеу жұмысына этикалық мақұлдау жүргізу……………………</w:t>
            </w:r>
            <w:r>
              <w:rPr>
                <w:rFonts w:ascii="Times New Roman" w:hAnsi="Times New Roman" w:eastAsia="Times New Roman" w:cs="Times New Roman"/>
                <w:color w:val="000000"/>
                <w:sz w:val="28"/>
                <w:szCs w:val="28"/>
                <w:lang w:val="kk-KZ" w:eastAsia="ru-RU"/>
              </w:rPr>
              <w:t>...</w:t>
            </w:r>
          </w:p>
        </w:tc>
        <w:tc>
          <w:tcPr>
            <w:tcW w:w="795" w:type="dxa"/>
            <w:shd w:val="clear" w:color="auto" w:fill="FFFFFF" w:themeFill="background1"/>
          </w:tcPr>
          <w:p w14:paraId="4A549DDB">
            <w:pPr>
              <w:widowControl w:val="0"/>
              <w:shd w:val="clear" w:color="auto" w:fill="FFFFFF" w:themeFill="background1"/>
              <w:autoSpaceDE w:val="0"/>
              <w:autoSpaceDN w:val="0"/>
              <w:spacing w:after="0" w:line="276" w:lineRule="auto"/>
              <w:jc w:val="both"/>
              <w:outlineLvl w:val="0"/>
              <w:rPr>
                <w:rFonts w:hint="default" w:ascii="Times New Roman" w:hAnsi="Times New Roman" w:eastAsia="Times New Roman" w:cs="Times New Roman"/>
                <w:sz w:val="28"/>
                <w:szCs w:val="28"/>
                <w:lang w:val="kk-KZ" w:eastAsia="ru-RU"/>
              </w:rPr>
            </w:pPr>
            <w:r>
              <w:rPr>
                <w:rFonts w:ascii="Times New Roman" w:hAnsi="Times New Roman" w:eastAsia="Times New Roman" w:cs="Times New Roman"/>
                <w:sz w:val="28"/>
                <w:szCs w:val="28"/>
                <w:lang w:val="en-US" w:eastAsia="ru-RU"/>
              </w:rPr>
              <w:t>4</w:t>
            </w:r>
            <w:r>
              <w:rPr>
                <w:rFonts w:hint="default" w:ascii="Times New Roman" w:hAnsi="Times New Roman" w:eastAsia="Times New Roman" w:cs="Times New Roman"/>
                <w:sz w:val="28"/>
                <w:szCs w:val="28"/>
                <w:lang w:val="kk-KZ" w:eastAsia="ru-RU"/>
              </w:rPr>
              <w:t>2</w:t>
            </w:r>
          </w:p>
        </w:tc>
      </w:tr>
      <w:tr w14:paraId="297090B6">
        <w:tblPrEx>
          <w:tblCellMar>
            <w:top w:w="15" w:type="dxa"/>
            <w:left w:w="15" w:type="dxa"/>
            <w:bottom w:w="15" w:type="dxa"/>
            <w:right w:w="15" w:type="dxa"/>
          </w:tblCellMar>
        </w:tblPrEx>
        <w:tc>
          <w:tcPr>
            <w:tcW w:w="9067" w:type="dxa"/>
            <w:gridSpan w:val="2"/>
          </w:tcPr>
          <w:p w14:paraId="3A30F5EF">
            <w:pPr>
              <w:widowControl w:val="0"/>
              <w:shd w:val="clear" w:color="auto" w:fill="FFFFFF" w:themeFill="background1"/>
              <w:autoSpaceDE w:val="0"/>
              <w:autoSpaceDN w:val="0"/>
              <w:spacing w:after="0" w:line="276" w:lineRule="auto"/>
              <w:jc w:val="both"/>
              <w:outlineLvl w:val="0"/>
              <w:rPr>
                <w:rFonts w:ascii="Times New Roman" w:hAnsi="Times New Roman" w:eastAsia="Times New Roman" w:cs="Times New Roman"/>
                <w:b/>
                <w:sz w:val="28"/>
                <w:szCs w:val="28"/>
                <w:lang w:val="en-US" w:eastAsia="ru-RU"/>
              </w:rPr>
            </w:pPr>
          </w:p>
          <w:p w14:paraId="03579F87">
            <w:pPr>
              <w:widowControl w:val="0"/>
              <w:shd w:val="clear" w:color="auto" w:fill="FFFFFF" w:themeFill="background1"/>
              <w:autoSpaceDE w:val="0"/>
              <w:autoSpaceDN w:val="0"/>
              <w:spacing w:after="0" w:line="276" w:lineRule="auto"/>
              <w:jc w:val="both"/>
              <w:outlineLvl w:val="0"/>
              <w:rPr>
                <w:rFonts w:ascii="Times New Roman" w:hAnsi="Times New Roman" w:eastAsia="Times New Roman" w:cs="Times New Roman"/>
                <w:b/>
                <w:sz w:val="28"/>
                <w:szCs w:val="28"/>
                <w:lang w:val="en-US" w:eastAsia="ru-RU"/>
              </w:rPr>
            </w:pPr>
            <w:r>
              <w:rPr>
                <w:rFonts w:ascii="Times New Roman" w:hAnsi="Times New Roman" w:eastAsia="Times New Roman" w:cs="Times New Roman"/>
                <w:b/>
                <w:sz w:val="28"/>
                <w:szCs w:val="28"/>
                <w:lang w:val="en-US" w:eastAsia="ru-RU"/>
              </w:rPr>
              <w:t>БӨЛІМ 3. ЗЕРТТЕУ НӘТИЖЕЛЕРІ ЖӘНЕ ОЛАРДЫ ТАЛҚЫЛАУ</w:t>
            </w:r>
          </w:p>
          <w:p w14:paraId="538FBF61">
            <w:pPr>
              <w:widowControl w:val="0"/>
              <w:shd w:val="clear" w:color="auto" w:fill="FFFFFF" w:themeFill="background1"/>
              <w:autoSpaceDE w:val="0"/>
              <w:autoSpaceDN w:val="0"/>
              <w:spacing w:after="0" w:line="276" w:lineRule="auto"/>
              <w:jc w:val="both"/>
              <w:outlineLvl w:val="0"/>
              <w:rPr>
                <w:rFonts w:ascii="Times New Roman" w:hAnsi="Times New Roman" w:eastAsia="Times New Roman" w:cs="Times New Roman"/>
                <w:b/>
                <w:sz w:val="28"/>
                <w:szCs w:val="28"/>
                <w:lang w:val="en-US" w:eastAsia="ru-RU"/>
              </w:rPr>
            </w:pPr>
          </w:p>
        </w:tc>
        <w:tc>
          <w:tcPr>
            <w:tcW w:w="795" w:type="dxa"/>
            <w:shd w:val="clear" w:color="auto" w:fill="FFFFFF" w:themeFill="background1"/>
          </w:tcPr>
          <w:p w14:paraId="4CADD510">
            <w:pPr>
              <w:widowControl w:val="0"/>
              <w:shd w:val="clear" w:color="auto" w:fill="FFFFFF" w:themeFill="background1"/>
              <w:autoSpaceDE w:val="0"/>
              <w:autoSpaceDN w:val="0"/>
              <w:spacing w:after="0" w:line="276" w:lineRule="auto"/>
              <w:jc w:val="both"/>
              <w:outlineLvl w:val="0"/>
              <w:rPr>
                <w:rFonts w:ascii="Times New Roman" w:hAnsi="Times New Roman" w:eastAsia="Times New Roman" w:cs="Times New Roman"/>
                <w:sz w:val="28"/>
                <w:szCs w:val="28"/>
                <w:lang w:val="en-US" w:eastAsia="ru-RU"/>
              </w:rPr>
            </w:pPr>
          </w:p>
          <w:p w14:paraId="43D3A513">
            <w:pPr>
              <w:widowControl w:val="0"/>
              <w:shd w:val="clear" w:color="auto" w:fill="FFFFFF" w:themeFill="background1"/>
              <w:autoSpaceDE w:val="0"/>
              <w:autoSpaceDN w:val="0"/>
              <w:spacing w:after="0" w:line="276" w:lineRule="auto"/>
              <w:jc w:val="both"/>
              <w:outlineLvl w:val="0"/>
              <w:rPr>
                <w:rFonts w:hint="default" w:ascii="Times New Roman" w:hAnsi="Times New Roman" w:eastAsia="Times New Roman" w:cs="Times New Roman"/>
                <w:sz w:val="28"/>
                <w:szCs w:val="28"/>
                <w:lang w:val="kk-KZ" w:eastAsia="ru-RU"/>
              </w:rPr>
            </w:pPr>
            <w:r>
              <w:rPr>
                <w:rFonts w:ascii="Times New Roman" w:hAnsi="Times New Roman" w:eastAsia="Times New Roman" w:cs="Times New Roman"/>
                <w:sz w:val="28"/>
                <w:szCs w:val="28"/>
                <w:lang w:val="kk-KZ" w:eastAsia="ru-RU"/>
              </w:rPr>
              <w:t>4</w:t>
            </w:r>
            <w:r>
              <w:rPr>
                <w:rFonts w:hint="default" w:ascii="Times New Roman" w:hAnsi="Times New Roman" w:eastAsia="Times New Roman" w:cs="Times New Roman"/>
                <w:sz w:val="28"/>
                <w:szCs w:val="28"/>
                <w:lang w:val="kk-KZ" w:eastAsia="ru-RU"/>
              </w:rPr>
              <w:t>4</w:t>
            </w:r>
          </w:p>
        </w:tc>
      </w:tr>
      <w:tr w14:paraId="74899259">
        <w:tblPrEx>
          <w:tblCellMar>
            <w:top w:w="15" w:type="dxa"/>
            <w:left w:w="15" w:type="dxa"/>
            <w:bottom w:w="15" w:type="dxa"/>
            <w:right w:w="15" w:type="dxa"/>
          </w:tblCellMar>
        </w:tblPrEx>
        <w:tc>
          <w:tcPr>
            <w:tcW w:w="900" w:type="dxa"/>
          </w:tcPr>
          <w:p w14:paraId="5E6C628B">
            <w:pPr>
              <w:widowControl w:val="0"/>
              <w:shd w:val="clear" w:color="auto" w:fill="FFFFFF" w:themeFill="background1"/>
              <w:autoSpaceDE w:val="0"/>
              <w:autoSpaceDN w:val="0"/>
              <w:spacing w:after="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3.1.</w:t>
            </w:r>
          </w:p>
        </w:tc>
        <w:tc>
          <w:tcPr>
            <w:tcW w:w="8167" w:type="dxa"/>
          </w:tcPr>
          <w:p w14:paraId="7F0D52D2">
            <w:pPr>
              <w:widowControl w:val="0"/>
              <w:shd w:val="clear" w:color="auto" w:fill="FFFFFF" w:themeFill="background1"/>
              <w:autoSpaceDE w:val="0"/>
              <w:autoSpaceDN w:val="0"/>
              <w:spacing w:after="0" w:line="276" w:lineRule="auto"/>
              <w:jc w:val="both"/>
              <w:outlineLvl w:val="0"/>
              <w:rPr>
                <w:rFonts w:ascii="Times New Roman" w:hAnsi="Times New Roman" w:eastAsia="Times New Roman" w:cs="Times New Roman"/>
                <w:color w:val="000000"/>
                <w:sz w:val="28"/>
                <w:szCs w:val="28"/>
                <w:lang w:val="en-US" w:eastAsia="ru-RU"/>
              </w:rPr>
            </w:pPr>
            <w:r>
              <w:rPr>
                <w:rFonts w:ascii="Times New Roman" w:hAnsi="Times New Roman" w:eastAsia="Times New Roman" w:cs="Times New Roman"/>
                <w:color w:val="000000"/>
                <w:sz w:val="28"/>
                <w:szCs w:val="28"/>
                <w:lang w:val="en-US" w:eastAsia="ru-RU"/>
              </w:rPr>
              <w:t xml:space="preserve">Зерттеуге қатысқан жүктілердің зертханалық және </w:t>
            </w:r>
          </w:p>
          <w:p w14:paraId="3D2F4ACF">
            <w:pPr>
              <w:widowControl w:val="0"/>
              <w:shd w:val="clear" w:color="auto" w:fill="FFFFFF" w:themeFill="background1"/>
              <w:autoSpaceDE w:val="0"/>
              <w:autoSpaceDN w:val="0"/>
              <w:spacing w:after="0" w:line="276" w:lineRule="auto"/>
              <w:jc w:val="both"/>
              <w:outlineLvl w:val="0"/>
              <w:rPr>
                <w:rFonts w:ascii="Times New Roman" w:hAnsi="Times New Roman" w:eastAsia="Times New Roman" w:cs="Times New Roman"/>
                <w:bCs/>
                <w:sz w:val="28"/>
                <w:szCs w:val="28"/>
                <w:lang w:val="en-US" w:eastAsia="ru-RU"/>
              </w:rPr>
            </w:pPr>
            <w:r>
              <w:rPr>
                <w:rFonts w:ascii="Times New Roman" w:hAnsi="Times New Roman" w:eastAsia="Times New Roman" w:cs="Times New Roman"/>
                <w:color w:val="000000"/>
                <w:sz w:val="28"/>
                <w:szCs w:val="28"/>
                <w:lang w:val="en-US" w:eastAsia="ru-RU"/>
              </w:rPr>
              <w:t>клиникалық сипаттамалары……………………………………………</w:t>
            </w:r>
          </w:p>
        </w:tc>
        <w:tc>
          <w:tcPr>
            <w:tcW w:w="795" w:type="dxa"/>
            <w:shd w:val="clear" w:color="auto" w:fill="FFFFFF" w:themeFill="background1"/>
          </w:tcPr>
          <w:p w14:paraId="5A55BF3D">
            <w:pPr>
              <w:widowControl w:val="0"/>
              <w:shd w:val="clear" w:color="auto" w:fill="FFFFFF" w:themeFill="background1"/>
              <w:autoSpaceDE w:val="0"/>
              <w:autoSpaceDN w:val="0"/>
              <w:spacing w:after="0" w:line="276" w:lineRule="auto"/>
              <w:jc w:val="both"/>
              <w:outlineLvl w:val="0"/>
              <w:rPr>
                <w:rFonts w:ascii="Times New Roman" w:hAnsi="Times New Roman" w:eastAsia="Times New Roman" w:cs="Times New Roman"/>
                <w:color w:val="000000"/>
                <w:sz w:val="28"/>
                <w:szCs w:val="28"/>
                <w:lang w:val="en-US" w:eastAsia="ru-RU"/>
              </w:rPr>
            </w:pPr>
          </w:p>
          <w:p w14:paraId="26967169">
            <w:pPr>
              <w:widowControl w:val="0"/>
              <w:shd w:val="clear" w:color="auto" w:fill="FFFFFF" w:themeFill="background1"/>
              <w:autoSpaceDE w:val="0"/>
              <w:autoSpaceDN w:val="0"/>
              <w:spacing w:after="0" w:line="276" w:lineRule="auto"/>
              <w:jc w:val="both"/>
              <w:outlineLvl w:val="0"/>
              <w:rPr>
                <w:rFonts w:ascii="Times New Roman" w:hAnsi="Times New Roman" w:eastAsia="Times New Roman" w:cs="Times New Roman"/>
                <w:color w:val="000000"/>
                <w:sz w:val="28"/>
                <w:szCs w:val="28"/>
                <w:lang w:val="kk-KZ" w:eastAsia="ru-RU"/>
              </w:rPr>
            </w:pPr>
            <w:r>
              <w:rPr>
                <w:rFonts w:ascii="Times New Roman" w:hAnsi="Times New Roman" w:eastAsia="Times New Roman" w:cs="Times New Roman"/>
                <w:color w:val="000000"/>
                <w:sz w:val="28"/>
                <w:szCs w:val="28"/>
                <w:lang w:val="en-US" w:eastAsia="ru-RU"/>
              </w:rPr>
              <w:t>4</w:t>
            </w:r>
            <w:r>
              <w:rPr>
                <w:rFonts w:ascii="Times New Roman" w:hAnsi="Times New Roman" w:eastAsia="Times New Roman" w:cs="Times New Roman"/>
                <w:color w:val="000000"/>
                <w:sz w:val="28"/>
                <w:szCs w:val="28"/>
                <w:lang w:val="kk-KZ" w:eastAsia="ru-RU"/>
              </w:rPr>
              <w:t>4</w:t>
            </w:r>
          </w:p>
        </w:tc>
      </w:tr>
      <w:tr w14:paraId="6A77EDFE">
        <w:tblPrEx>
          <w:tblCellMar>
            <w:top w:w="15" w:type="dxa"/>
            <w:left w:w="15" w:type="dxa"/>
            <w:bottom w:w="15" w:type="dxa"/>
            <w:right w:w="15" w:type="dxa"/>
          </w:tblCellMar>
        </w:tblPrEx>
        <w:tc>
          <w:tcPr>
            <w:tcW w:w="900" w:type="dxa"/>
          </w:tcPr>
          <w:p w14:paraId="5CC04BED">
            <w:pPr>
              <w:widowControl w:val="0"/>
              <w:shd w:val="clear" w:color="auto" w:fill="FFFFFF" w:themeFill="background1"/>
              <w:autoSpaceDE w:val="0"/>
              <w:autoSpaceDN w:val="0"/>
              <w:spacing w:after="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3.2</w:t>
            </w:r>
          </w:p>
        </w:tc>
        <w:tc>
          <w:tcPr>
            <w:tcW w:w="8167" w:type="dxa"/>
          </w:tcPr>
          <w:p w14:paraId="582DBD01">
            <w:pPr>
              <w:widowControl w:val="0"/>
              <w:shd w:val="clear" w:color="auto" w:fill="FFFFFF" w:themeFill="background1"/>
              <w:autoSpaceDE w:val="0"/>
              <w:autoSpaceDN w:val="0"/>
              <w:spacing w:after="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 xml:space="preserve">Жүктілікке дейінгі семіздігі бар жүктілерде анемия дамуында </w:t>
            </w:r>
          </w:p>
          <w:p w14:paraId="6DB8BD81">
            <w:pPr>
              <w:widowControl w:val="0"/>
              <w:shd w:val="clear" w:color="auto" w:fill="FFFFFF" w:themeFill="background1"/>
              <w:autoSpaceDE w:val="0"/>
              <w:autoSpaceDN w:val="0"/>
              <w:spacing w:after="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 xml:space="preserve">темір алмасу маркерлерінің (гепсидин, эритропоэтин, </w:t>
            </w:r>
          </w:p>
          <w:p w14:paraId="634AFE83">
            <w:pPr>
              <w:widowControl w:val="0"/>
              <w:shd w:val="clear" w:color="auto" w:fill="FFFFFF" w:themeFill="background1"/>
              <w:autoSpaceDE w:val="0"/>
              <w:autoSpaceDN w:val="0"/>
              <w:spacing w:after="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ферритин) болжамдылық маңыздылығы……………………………...</w:t>
            </w:r>
          </w:p>
        </w:tc>
        <w:tc>
          <w:tcPr>
            <w:tcW w:w="795" w:type="dxa"/>
            <w:shd w:val="clear" w:color="auto" w:fill="FFFFFF" w:themeFill="background1"/>
          </w:tcPr>
          <w:p w14:paraId="4F12E325">
            <w:pPr>
              <w:widowControl w:val="0"/>
              <w:shd w:val="clear" w:color="auto" w:fill="FFFFFF" w:themeFill="background1"/>
              <w:autoSpaceDE w:val="0"/>
              <w:autoSpaceDN w:val="0"/>
              <w:spacing w:after="0" w:line="276" w:lineRule="auto"/>
              <w:jc w:val="both"/>
              <w:outlineLvl w:val="0"/>
              <w:rPr>
                <w:rFonts w:ascii="Times New Roman" w:hAnsi="Times New Roman" w:eastAsia="Times New Roman" w:cs="Times New Roman"/>
                <w:color w:val="000000"/>
                <w:sz w:val="28"/>
                <w:szCs w:val="28"/>
                <w:lang w:val="kk-KZ" w:eastAsia="ru-RU"/>
              </w:rPr>
            </w:pPr>
          </w:p>
          <w:p w14:paraId="22A0F070">
            <w:pPr>
              <w:widowControl w:val="0"/>
              <w:shd w:val="clear" w:color="auto" w:fill="FFFFFF" w:themeFill="background1"/>
              <w:autoSpaceDE w:val="0"/>
              <w:autoSpaceDN w:val="0"/>
              <w:spacing w:after="0" w:line="276" w:lineRule="auto"/>
              <w:jc w:val="both"/>
              <w:outlineLvl w:val="0"/>
              <w:rPr>
                <w:rFonts w:ascii="Times New Roman" w:hAnsi="Times New Roman" w:eastAsia="Times New Roman" w:cs="Times New Roman"/>
                <w:color w:val="000000"/>
                <w:sz w:val="28"/>
                <w:szCs w:val="28"/>
                <w:lang w:val="kk-KZ" w:eastAsia="ru-RU"/>
              </w:rPr>
            </w:pPr>
          </w:p>
          <w:p w14:paraId="1334C50B">
            <w:pPr>
              <w:widowControl w:val="0"/>
              <w:shd w:val="clear" w:color="auto" w:fill="FFFFFF" w:themeFill="background1"/>
              <w:autoSpaceDE w:val="0"/>
              <w:autoSpaceDN w:val="0"/>
              <w:spacing w:after="0" w:line="276" w:lineRule="auto"/>
              <w:jc w:val="both"/>
              <w:outlineLvl w:val="0"/>
              <w:rPr>
                <w:rFonts w:ascii="Times New Roman" w:hAnsi="Times New Roman" w:eastAsia="Times New Roman" w:cs="Times New Roman"/>
                <w:color w:val="000000"/>
                <w:sz w:val="28"/>
                <w:szCs w:val="28"/>
                <w:lang w:val="kk-KZ" w:eastAsia="ru-RU"/>
              </w:rPr>
            </w:pPr>
            <w:r>
              <w:rPr>
                <w:rFonts w:ascii="Times New Roman" w:hAnsi="Times New Roman" w:eastAsia="Times New Roman" w:cs="Times New Roman"/>
                <w:color w:val="000000"/>
                <w:sz w:val="28"/>
                <w:szCs w:val="28"/>
                <w:lang w:val="kk-KZ" w:eastAsia="ru-RU"/>
              </w:rPr>
              <w:t>55</w:t>
            </w:r>
          </w:p>
        </w:tc>
      </w:tr>
      <w:tr w14:paraId="29EEB145">
        <w:tblPrEx>
          <w:tblCellMar>
            <w:top w:w="15" w:type="dxa"/>
            <w:left w:w="15" w:type="dxa"/>
            <w:bottom w:w="15" w:type="dxa"/>
            <w:right w:w="15" w:type="dxa"/>
          </w:tblCellMar>
        </w:tblPrEx>
        <w:tc>
          <w:tcPr>
            <w:tcW w:w="900" w:type="dxa"/>
          </w:tcPr>
          <w:p w14:paraId="15F20F8E">
            <w:pPr>
              <w:widowControl w:val="0"/>
              <w:shd w:val="clear" w:color="auto" w:fill="FFFFFF" w:themeFill="background1"/>
              <w:autoSpaceDE w:val="0"/>
              <w:autoSpaceDN w:val="0"/>
              <w:spacing w:after="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3.3</w:t>
            </w:r>
          </w:p>
        </w:tc>
        <w:tc>
          <w:tcPr>
            <w:tcW w:w="8167" w:type="dxa"/>
          </w:tcPr>
          <w:p w14:paraId="024B6BBE">
            <w:pPr>
              <w:widowControl w:val="0"/>
              <w:shd w:val="clear" w:color="auto" w:fill="FFFFFF" w:themeFill="background1"/>
              <w:autoSpaceDE w:val="0"/>
              <w:autoSpaceDN w:val="0"/>
              <w:spacing w:after="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 xml:space="preserve">Жүктілікке дейінгі семіздігі бар жүктілерде анемия </w:t>
            </w:r>
          </w:p>
          <w:p w14:paraId="2271117F">
            <w:pPr>
              <w:widowControl w:val="0"/>
              <w:shd w:val="clear" w:color="auto" w:fill="FFFFFF" w:themeFill="background1"/>
              <w:autoSpaceDE w:val="0"/>
              <w:autoSpaceDN w:val="0"/>
              <w:spacing w:after="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 xml:space="preserve">дамуында қабыну медиаторларының (Интерлейкин–6, </w:t>
            </w:r>
          </w:p>
          <w:p w14:paraId="66B8F4D3">
            <w:pPr>
              <w:widowControl w:val="0"/>
              <w:shd w:val="clear" w:color="auto" w:fill="FFFFFF" w:themeFill="background1"/>
              <w:autoSpaceDE w:val="0"/>
              <w:autoSpaceDN w:val="0"/>
              <w:spacing w:after="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C–реактивті ақуыз) маркерлерінің болжамдылық маңыздылығы…..</w:t>
            </w:r>
          </w:p>
        </w:tc>
        <w:tc>
          <w:tcPr>
            <w:tcW w:w="795" w:type="dxa"/>
            <w:shd w:val="clear" w:color="auto" w:fill="FFFFFF" w:themeFill="background1"/>
          </w:tcPr>
          <w:p w14:paraId="609542A1">
            <w:pPr>
              <w:widowControl w:val="0"/>
              <w:shd w:val="clear" w:color="auto" w:fill="FFFFFF" w:themeFill="background1"/>
              <w:autoSpaceDE w:val="0"/>
              <w:autoSpaceDN w:val="0"/>
              <w:spacing w:after="0" w:line="276" w:lineRule="auto"/>
              <w:jc w:val="both"/>
              <w:outlineLvl w:val="0"/>
              <w:rPr>
                <w:rFonts w:ascii="Times New Roman" w:hAnsi="Times New Roman" w:eastAsia="Times New Roman" w:cs="Times New Roman"/>
                <w:color w:val="000000"/>
                <w:sz w:val="28"/>
                <w:szCs w:val="28"/>
                <w:lang w:val="kk-KZ" w:eastAsia="ru-RU"/>
              </w:rPr>
            </w:pPr>
          </w:p>
          <w:p w14:paraId="5929FD9E">
            <w:pPr>
              <w:widowControl w:val="0"/>
              <w:shd w:val="clear" w:color="auto" w:fill="FFFFFF" w:themeFill="background1"/>
              <w:autoSpaceDE w:val="0"/>
              <w:autoSpaceDN w:val="0"/>
              <w:spacing w:after="0" w:line="276" w:lineRule="auto"/>
              <w:jc w:val="both"/>
              <w:outlineLvl w:val="0"/>
              <w:rPr>
                <w:rFonts w:ascii="Times New Roman" w:hAnsi="Times New Roman" w:eastAsia="Times New Roman" w:cs="Times New Roman"/>
                <w:color w:val="000000"/>
                <w:sz w:val="28"/>
                <w:szCs w:val="28"/>
                <w:lang w:val="kk-KZ" w:eastAsia="ru-RU"/>
              </w:rPr>
            </w:pPr>
          </w:p>
          <w:p w14:paraId="3AF37C27">
            <w:pPr>
              <w:widowControl w:val="0"/>
              <w:shd w:val="clear" w:color="auto" w:fill="FFFFFF" w:themeFill="background1"/>
              <w:autoSpaceDE w:val="0"/>
              <w:autoSpaceDN w:val="0"/>
              <w:spacing w:after="0" w:line="276" w:lineRule="auto"/>
              <w:jc w:val="both"/>
              <w:outlineLvl w:val="0"/>
              <w:rPr>
                <w:rFonts w:ascii="Times New Roman" w:hAnsi="Times New Roman" w:eastAsia="Times New Roman" w:cs="Times New Roman"/>
                <w:color w:val="000000"/>
                <w:sz w:val="28"/>
                <w:szCs w:val="28"/>
                <w:lang w:val="kk-KZ" w:eastAsia="ru-RU"/>
              </w:rPr>
            </w:pPr>
            <w:r>
              <w:rPr>
                <w:rFonts w:ascii="Times New Roman" w:hAnsi="Times New Roman" w:eastAsia="Times New Roman" w:cs="Times New Roman"/>
                <w:color w:val="000000"/>
                <w:sz w:val="28"/>
                <w:szCs w:val="28"/>
                <w:lang w:val="kk-KZ" w:eastAsia="ru-RU"/>
              </w:rPr>
              <w:t>58</w:t>
            </w:r>
          </w:p>
        </w:tc>
      </w:tr>
      <w:tr w14:paraId="51C79C2F">
        <w:tblPrEx>
          <w:tblCellMar>
            <w:top w:w="15" w:type="dxa"/>
            <w:left w:w="15" w:type="dxa"/>
            <w:bottom w:w="15" w:type="dxa"/>
            <w:right w:w="15" w:type="dxa"/>
          </w:tblCellMar>
        </w:tblPrEx>
        <w:tc>
          <w:tcPr>
            <w:tcW w:w="900" w:type="dxa"/>
          </w:tcPr>
          <w:p w14:paraId="45137A62">
            <w:pPr>
              <w:widowControl w:val="0"/>
              <w:shd w:val="clear" w:color="auto" w:fill="FFFFFF" w:themeFill="background1"/>
              <w:autoSpaceDE w:val="0"/>
              <w:autoSpaceDN w:val="0"/>
              <w:spacing w:after="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3.4</w:t>
            </w:r>
          </w:p>
        </w:tc>
        <w:tc>
          <w:tcPr>
            <w:tcW w:w="8167" w:type="dxa"/>
          </w:tcPr>
          <w:p w14:paraId="174AE509">
            <w:pPr>
              <w:widowControl w:val="0"/>
              <w:shd w:val="clear" w:color="auto" w:fill="FFFFFF" w:themeFill="background1"/>
              <w:autoSpaceDE w:val="0"/>
              <w:autoSpaceDN w:val="0"/>
              <w:spacing w:after="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 xml:space="preserve">Жүктілікке дейінгі дене самағы индексі мен анемияның </w:t>
            </w:r>
          </w:p>
          <w:p w14:paraId="2F413F2C">
            <w:pPr>
              <w:widowControl w:val="0"/>
              <w:shd w:val="clear" w:color="auto" w:fill="FFFFFF" w:themeFill="background1"/>
              <w:autoSpaceDE w:val="0"/>
              <w:autoSpaceDN w:val="0"/>
              <w:spacing w:after="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босану ағымына әсері…………………………………………………..</w:t>
            </w:r>
          </w:p>
        </w:tc>
        <w:tc>
          <w:tcPr>
            <w:tcW w:w="795" w:type="dxa"/>
            <w:shd w:val="clear" w:color="auto" w:fill="FFFFFF" w:themeFill="background1"/>
          </w:tcPr>
          <w:p w14:paraId="75213799">
            <w:pPr>
              <w:widowControl w:val="0"/>
              <w:shd w:val="clear" w:color="auto" w:fill="FFFFFF" w:themeFill="background1"/>
              <w:autoSpaceDE w:val="0"/>
              <w:autoSpaceDN w:val="0"/>
              <w:spacing w:after="0" w:line="276" w:lineRule="auto"/>
              <w:jc w:val="both"/>
              <w:outlineLvl w:val="0"/>
              <w:rPr>
                <w:rFonts w:ascii="Times New Roman" w:hAnsi="Times New Roman" w:eastAsia="Times New Roman" w:cs="Times New Roman"/>
                <w:color w:val="000000"/>
                <w:sz w:val="28"/>
                <w:szCs w:val="28"/>
                <w:lang w:val="en-US" w:eastAsia="ru-RU"/>
              </w:rPr>
            </w:pPr>
          </w:p>
          <w:p w14:paraId="165EE6C4">
            <w:pPr>
              <w:widowControl w:val="0"/>
              <w:shd w:val="clear" w:color="auto" w:fill="FFFFFF" w:themeFill="background1"/>
              <w:autoSpaceDE w:val="0"/>
              <w:autoSpaceDN w:val="0"/>
              <w:spacing w:after="0" w:line="276" w:lineRule="auto"/>
              <w:jc w:val="both"/>
              <w:outlineLvl w:val="0"/>
              <w:rPr>
                <w:rFonts w:ascii="Times New Roman" w:hAnsi="Times New Roman" w:eastAsia="Times New Roman" w:cs="Times New Roman"/>
                <w:color w:val="000000"/>
                <w:sz w:val="28"/>
                <w:szCs w:val="28"/>
                <w:lang w:val="kk-KZ" w:eastAsia="ru-RU"/>
              </w:rPr>
            </w:pPr>
            <w:r>
              <w:rPr>
                <w:rFonts w:ascii="Times New Roman" w:hAnsi="Times New Roman" w:eastAsia="Times New Roman" w:cs="Times New Roman"/>
                <w:color w:val="000000"/>
                <w:sz w:val="28"/>
                <w:szCs w:val="28"/>
                <w:lang w:val="en-US" w:eastAsia="ru-RU"/>
              </w:rPr>
              <w:t>6</w:t>
            </w:r>
            <w:r>
              <w:rPr>
                <w:rFonts w:ascii="Times New Roman" w:hAnsi="Times New Roman" w:eastAsia="Times New Roman" w:cs="Times New Roman"/>
                <w:color w:val="000000"/>
                <w:sz w:val="28"/>
                <w:szCs w:val="28"/>
                <w:lang w:val="kk-KZ" w:eastAsia="ru-RU"/>
              </w:rPr>
              <w:t>2</w:t>
            </w:r>
          </w:p>
        </w:tc>
      </w:tr>
      <w:tr w14:paraId="27B4602D">
        <w:tblPrEx>
          <w:tblCellMar>
            <w:top w:w="15" w:type="dxa"/>
            <w:left w:w="15" w:type="dxa"/>
            <w:bottom w:w="15" w:type="dxa"/>
            <w:right w:w="15" w:type="dxa"/>
          </w:tblCellMar>
        </w:tblPrEx>
        <w:tc>
          <w:tcPr>
            <w:tcW w:w="900" w:type="dxa"/>
          </w:tcPr>
          <w:p w14:paraId="71BF8CA4">
            <w:pPr>
              <w:widowControl w:val="0"/>
              <w:shd w:val="clear" w:color="auto" w:fill="FFFFFF" w:themeFill="background1"/>
              <w:autoSpaceDE w:val="0"/>
              <w:autoSpaceDN w:val="0"/>
              <w:spacing w:after="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3.5</w:t>
            </w:r>
          </w:p>
        </w:tc>
        <w:tc>
          <w:tcPr>
            <w:tcW w:w="8167" w:type="dxa"/>
          </w:tcPr>
          <w:p w14:paraId="5C835A0D">
            <w:pPr>
              <w:widowControl w:val="0"/>
              <w:shd w:val="clear" w:color="auto" w:fill="FFFFFF" w:themeFill="background1"/>
              <w:autoSpaceDE w:val="0"/>
              <w:autoSpaceDN w:val="0"/>
              <w:spacing w:after="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 xml:space="preserve">Зерттеу көрсеткіштері арасындағы корреляциялық </w:t>
            </w:r>
          </w:p>
          <w:p w14:paraId="362282E9">
            <w:pPr>
              <w:widowControl w:val="0"/>
              <w:shd w:val="clear" w:color="auto" w:fill="FFFFFF" w:themeFill="background1"/>
              <w:autoSpaceDE w:val="0"/>
              <w:autoSpaceDN w:val="0"/>
              <w:spacing w:after="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байланыстарды сипаттау……………………………………………….</w:t>
            </w:r>
          </w:p>
        </w:tc>
        <w:tc>
          <w:tcPr>
            <w:tcW w:w="795" w:type="dxa"/>
            <w:shd w:val="clear" w:color="auto" w:fill="FFFFFF" w:themeFill="background1"/>
          </w:tcPr>
          <w:p w14:paraId="6504E47B">
            <w:pPr>
              <w:widowControl w:val="0"/>
              <w:shd w:val="clear" w:color="auto" w:fill="FFFFFF" w:themeFill="background1"/>
              <w:autoSpaceDE w:val="0"/>
              <w:autoSpaceDN w:val="0"/>
              <w:spacing w:after="0" w:line="276" w:lineRule="auto"/>
              <w:jc w:val="both"/>
              <w:outlineLvl w:val="0"/>
              <w:rPr>
                <w:rFonts w:ascii="Times New Roman" w:hAnsi="Times New Roman" w:eastAsia="Times New Roman" w:cs="Times New Roman"/>
                <w:color w:val="000000"/>
                <w:sz w:val="28"/>
                <w:szCs w:val="28"/>
                <w:lang w:val="en-US" w:eastAsia="ru-RU"/>
              </w:rPr>
            </w:pPr>
          </w:p>
          <w:p w14:paraId="07BE3999">
            <w:pPr>
              <w:widowControl w:val="0"/>
              <w:shd w:val="clear" w:color="auto" w:fill="FFFFFF" w:themeFill="background1"/>
              <w:autoSpaceDE w:val="0"/>
              <w:autoSpaceDN w:val="0"/>
              <w:spacing w:after="0" w:line="276" w:lineRule="auto"/>
              <w:jc w:val="both"/>
              <w:outlineLvl w:val="0"/>
              <w:rPr>
                <w:rFonts w:ascii="Times New Roman" w:hAnsi="Times New Roman" w:eastAsia="Times New Roman" w:cs="Times New Roman"/>
                <w:color w:val="000000"/>
                <w:sz w:val="28"/>
                <w:szCs w:val="28"/>
                <w:lang w:val="kk-KZ" w:eastAsia="ru-RU"/>
              </w:rPr>
            </w:pPr>
            <w:r>
              <w:rPr>
                <w:rFonts w:ascii="Times New Roman" w:hAnsi="Times New Roman" w:eastAsia="Times New Roman" w:cs="Times New Roman"/>
                <w:color w:val="000000"/>
                <w:sz w:val="28"/>
                <w:szCs w:val="28"/>
                <w:lang w:val="en-US" w:eastAsia="ru-RU"/>
              </w:rPr>
              <w:t>6</w:t>
            </w:r>
            <w:r>
              <w:rPr>
                <w:rFonts w:ascii="Times New Roman" w:hAnsi="Times New Roman" w:eastAsia="Times New Roman" w:cs="Times New Roman"/>
                <w:color w:val="000000"/>
                <w:sz w:val="28"/>
                <w:szCs w:val="28"/>
                <w:lang w:val="kk-KZ" w:eastAsia="ru-RU"/>
              </w:rPr>
              <w:t>4</w:t>
            </w:r>
          </w:p>
        </w:tc>
      </w:tr>
      <w:tr w14:paraId="2445BA91">
        <w:tblPrEx>
          <w:tblCellMar>
            <w:top w:w="15" w:type="dxa"/>
            <w:left w:w="15" w:type="dxa"/>
            <w:bottom w:w="15" w:type="dxa"/>
            <w:right w:w="15" w:type="dxa"/>
          </w:tblCellMar>
        </w:tblPrEx>
        <w:tc>
          <w:tcPr>
            <w:tcW w:w="900" w:type="dxa"/>
          </w:tcPr>
          <w:p w14:paraId="4DDA5DA9">
            <w:pPr>
              <w:widowControl w:val="0"/>
              <w:shd w:val="clear" w:color="auto" w:fill="FFFFFF" w:themeFill="background1"/>
              <w:autoSpaceDE w:val="0"/>
              <w:autoSpaceDN w:val="0"/>
              <w:spacing w:after="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3.6</w:t>
            </w:r>
          </w:p>
        </w:tc>
        <w:tc>
          <w:tcPr>
            <w:tcW w:w="8167" w:type="dxa"/>
          </w:tcPr>
          <w:p w14:paraId="4D4808E4">
            <w:pPr>
              <w:widowControl w:val="0"/>
              <w:shd w:val="clear" w:color="auto" w:fill="FFFFFF" w:themeFill="background1"/>
              <w:autoSpaceDE w:val="0"/>
              <w:autoSpaceDN w:val="0"/>
              <w:spacing w:after="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 xml:space="preserve">Дене салмағының индексіне қабыну және темір </w:t>
            </w:r>
          </w:p>
          <w:p w14:paraId="5F89ED44">
            <w:pPr>
              <w:widowControl w:val="0"/>
              <w:shd w:val="clear" w:color="auto" w:fill="FFFFFF" w:themeFill="background1"/>
              <w:autoSpaceDE w:val="0"/>
              <w:autoSpaceDN w:val="0"/>
              <w:spacing w:after="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 xml:space="preserve">метаболизмі маркерлерінің әсерін бағалау: </w:t>
            </w:r>
          </w:p>
          <w:p w14:paraId="49602CC2">
            <w:pPr>
              <w:widowControl w:val="0"/>
              <w:shd w:val="clear" w:color="auto" w:fill="FFFFFF" w:themeFill="background1"/>
              <w:autoSpaceDE w:val="0"/>
              <w:autoSpaceDN w:val="0"/>
              <w:spacing w:after="0" w:line="276" w:lineRule="auto"/>
              <w:jc w:val="both"/>
              <w:outlineLvl w:val="0"/>
              <w:rPr>
                <w:rFonts w:ascii="Times New Roman" w:hAnsi="Times New Roman" w:eastAsia="Times New Roman" w:cs="Times New Roman"/>
                <w:sz w:val="28"/>
                <w:szCs w:val="28"/>
                <w:lang w:val="kk-KZ" w:eastAsia="ru-RU"/>
              </w:rPr>
            </w:pPr>
            <w:r>
              <w:rPr>
                <w:rFonts w:ascii="Times New Roman" w:hAnsi="Times New Roman" w:eastAsia="Times New Roman" w:cs="Times New Roman"/>
                <w:sz w:val="28"/>
                <w:szCs w:val="28"/>
                <w:lang w:val="en-US" w:eastAsia="ru-RU"/>
              </w:rPr>
              <w:t>көптік регрессия нәтижелері және прогностикалық модель………</w:t>
            </w:r>
            <w:r>
              <w:rPr>
                <w:rFonts w:ascii="Times New Roman" w:hAnsi="Times New Roman" w:eastAsia="Times New Roman" w:cs="Times New Roman"/>
                <w:sz w:val="28"/>
                <w:szCs w:val="28"/>
                <w:lang w:val="kk-KZ" w:eastAsia="ru-RU"/>
              </w:rPr>
              <w:t>...</w:t>
            </w:r>
          </w:p>
        </w:tc>
        <w:tc>
          <w:tcPr>
            <w:tcW w:w="795" w:type="dxa"/>
            <w:shd w:val="clear" w:color="auto" w:fill="FFFFFF" w:themeFill="background1"/>
          </w:tcPr>
          <w:p w14:paraId="09A1ED44">
            <w:pPr>
              <w:widowControl w:val="0"/>
              <w:shd w:val="clear" w:color="auto" w:fill="FFFFFF" w:themeFill="background1"/>
              <w:autoSpaceDE w:val="0"/>
              <w:autoSpaceDN w:val="0"/>
              <w:spacing w:after="0" w:line="276" w:lineRule="auto"/>
              <w:jc w:val="both"/>
              <w:outlineLvl w:val="0"/>
              <w:rPr>
                <w:rFonts w:ascii="Times New Roman" w:hAnsi="Times New Roman" w:eastAsia="Times New Roman" w:cs="Times New Roman"/>
                <w:color w:val="000000"/>
                <w:sz w:val="28"/>
                <w:szCs w:val="28"/>
                <w:lang w:val="kk-KZ" w:eastAsia="ru-RU"/>
              </w:rPr>
            </w:pPr>
          </w:p>
          <w:p w14:paraId="2417F490">
            <w:pPr>
              <w:widowControl w:val="0"/>
              <w:shd w:val="clear" w:color="auto" w:fill="FFFFFF" w:themeFill="background1"/>
              <w:autoSpaceDE w:val="0"/>
              <w:autoSpaceDN w:val="0"/>
              <w:spacing w:after="0" w:line="276" w:lineRule="auto"/>
              <w:jc w:val="both"/>
              <w:outlineLvl w:val="0"/>
              <w:rPr>
                <w:rFonts w:ascii="Times New Roman" w:hAnsi="Times New Roman" w:eastAsia="Times New Roman" w:cs="Times New Roman"/>
                <w:color w:val="000000"/>
                <w:sz w:val="28"/>
                <w:szCs w:val="28"/>
                <w:lang w:val="kk-KZ" w:eastAsia="ru-RU"/>
              </w:rPr>
            </w:pPr>
          </w:p>
          <w:p w14:paraId="460E0E41">
            <w:pPr>
              <w:widowControl w:val="0"/>
              <w:shd w:val="clear" w:color="auto" w:fill="FFFFFF" w:themeFill="background1"/>
              <w:autoSpaceDE w:val="0"/>
              <w:autoSpaceDN w:val="0"/>
              <w:spacing w:after="0" w:line="276" w:lineRule="auto"/>
              <w:jc w:val="both"/>
              <w:outlineLvl w:val="0"/>
              <w:rPr>
                <w:rFonts w:ascii="Times New Roman" w:hAnsi="Times New Roman" w:eastAsia="Times New Roman" w:cs="Times New Roman"/>
                <w:color w:val="000000"/>
                <w:sz w:val="28"/>
                <w:szCs w:val="28"/>
                <w:lang w:val="kk-KZ" w:eastAsia="ru-RU"/>
              </w:rPr>
            </w:pPr>
            <w:r>
              <w:rPr>
                <w:rFonts w:ascii="Times New Roman" w:hAnsi="Times New Roman" w:eastAsia="Times New Roman" w:cs="Times New Roman"/>
                <w:color w:val="000000"/>
                <w:sz w:val="28"/>
                <w:szCs w:val="28"/>
                <w:lang w:val="kk-KZ" w:eastAsia="ru-RU"/>
              </w:rPr>
              <w:t>67</w:t>
            </w:r>
          </w:p>
        </w:tc>
      </w:tr>
      <w:tr w14:paraId="0402939C">
        <w:tblPrEx>
          <w:tblCellMar>
            <w:top w:w="15" w:type="dxa"/>
            <w:left w:w="15" w:type="dxa"/>
            <w:bottom w:w="15" w:type="dxa"/>
            <w:right w:w="15" w:type="dxa"/>
          </w:tblCellMar>
        </w:tblPrEx>
        <w:tc>
          <w:tcPr>
            <w:tcW w:w="900" w:type="dxa"/>
          </w:tcPr>
          <w:p w14:paraId="2213162F">
            <w:pPr>
              <w:widowControl w:val="0"/>
              <w:shd w:val="clear" w:color="auto" w:fill="FFFFFF" w:themeFill="background1"/>
              <w:autoSpaceDE w:val="0"/>
              <w:autoSpaceDN w:val="0"/>
              <w:spacing w:after="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3.7</w:t>
            </w:r>
          </w:p>
        </w:tc>
        <w:tc>
          <w:tcPr>
            <w:tcW w:w="8167" w:type="dxa"/>
          </w:tcPr>
          <w:p w14:paraId="5146C3D1">
            <w:pPr>
              <w:widowControl w:val="0"/>
              <w:shd w:val="clear" w:color="auto" w:fill="FFFFFF" w:themeFill="background1"/>
              <w:autoSpaceDE w:val="0"/>
              <w:autoSpaceDN w:val="0"/>
              <w:spacing w:after="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 xml:space="preserve">Семіздікке әсер ететін факторларды бағалау: қабыну </w:t>
            </w:r>
          </w:p>
          <w:p w14:paraId="22D3125A">
            <w:pPr>
              <w:widowControl w:val="0"/>
              <w:shd w:val="clear" w:color="auto" w:fill="FFFFFF" w:themeFill="background1"/>
              <w:autoSpaceDE w:val="0"/>
              <w:autoSpaceDN w:val="0"/>
              <w:spacing w:after="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маркерлерінің рөлі және прогностикалық модель нәтижелері………</w:t>
            </w:r>
          </w:p>
        </w:tc>
        <w:tc>
          <w:tcPr>
            <w:tcW w:w="795" w:type="dxa"/>
            <w:shd w:val="clear" w:color="auto" w:fill="FFFFFF" w:themeFill="background1"/>
          </w:tcPr>
          <w:p w14:paraId="1673CFFA">
            <w:pPr>
              <w:widowControl w:val="0"/>
              <w:shd w:val="clear" w:color="auto" w:fill="FFFFFF" w:themeFill="background1"/>
              <w:autoSpaceDE w:val="0"/>
              <w:autoSpaceDN w:val="0"/>
              <w:spacing w:after="0" w:line="276" w:lineRule="auto"/>
              <w:jc w:val="both"/>
              <w:outlineLvl w:val="0"/>
              <w:rPr>
                <w:rFonts w:ascii="Times New Roman" w:hAnsi="Times New Roman" w:eastAsia="Times New Roman" w:cs="Times New Roman"/>
                <w:color w:val="000000"/>
                <w:sz w:val="28"/>
                <w:szCs w:val="28"/>
                <w:lang w:val="kk-KZ" w:eastAsia="ru-RU"/>
              </w:rPr>
            </w:pPr>
          </w:p>
          <w:p w14:paraId="73FE7605">
            <w:pPr>
              <w:widowControl w:val="0"/>
              <w:shd w:val="clear" w:color="auto" w:fill="FFFFFF" w:themeFill="background1"/>
              <w:autoSpaceDE w:val="0"/>
              <w:autoSpaceDN w:val="0"/>
              <w:spacing w:after="0" w:line="276" w:lineRule="auto"/>
              <w:jc w:val="both"/>
              <w:outlineLvl w:val="0"/>
              <w:rPr>
                <w:rFonts w:ascii="Times New Roman" w:hAnsi="Times New Roman" w:eastAsia="Times New Roman" w:cs="Times New Roman"/>
                <w:color w:val="000000"/>
                <w:sz w:val="28"/>
                <w:szCs w:val="28"/>
                <w:lang w:val="kk-KZ" w:eastAsia="ru-RU"/>
              </w:rPr>
            </w:pPr>
            <w:r>
              <w:rPr>
                <w:rFonts w:ascii="Times New Roman" w:hAnsi="Times New Roman" w:eastAsia="Times New Roman" w:cs="Times New Roman"/>
                <w:color w:val="000000"/>
                <w:sz w:val="28"/>
                <w:szCs w:val="28"/>
                <w:lang w:val="kk-KZ" w:eastAsia="ru-RU"/>
              </w:rPr>
              <w:t>71</w:t>
            </w:r>
          </w:p>
        </w:tc>
      </w:tr>
      <w:tr w14:paraId="0A1D1D90">
        <w:tblPrEx>
          <w:tblCellMar>
            <w:top w:w="15" w:type="dxa"/>
            <w:left w:w="15" w:type="dxa"/>
            <w:bottom w:w="15" w:type="dxa"/>
            <w:right w:w="15" w:type="dxa"/>
          </w:tblCellMar>
        </w:tblPrEx>
        <w:tc>
          <w:tcPr>
            <w:tcW w:w="900" w:type="dxa"/>
          </w:tcPr>
          <w:p w14:paraId="71E56976">
            <w:pPr>
              <w:widowControl w:val="0"/>
              <w:shd w:val="clear" w:color="auto" w:fill="FFFFFF" w:themeFill="background1"/>
              <w:autoSpaceDE w:val="0"/>
              <w:autoSpaceDN w:val="0"/>
              <w:spacing w:after="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3.8</w:t>
            </w:r>
          </w:p>
        </w:tc>
        <w:tc>
          <w:tcPr>
            <w:tcW w:w="8167" w:type="dxa"/>
          </w:tcPr>
          <w:p w14:paraId="090BD100">
            <w:pPr>
              <w:widowControl w:val="0"/>
              <w:shd w:val="clear" w:color="auto" w:fill="FFFFFF" w:themeFill="background1"/>
              <w:autoSpaceDE w:val="0"/>
              <w:autoSpaceDN w:val="0"/>
              <w:spacing w:after="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 xml:space="preserve">Анемия ықтималдығына әсер ететін предикторларды </w:t>
            </w:r>
          </w:p>
          <w:p w14:paraId="255DADAA">
            <w:pPr>
              <w:widowControl w:val="0"/>
              <w:shd w:val="clear" w:color="auto" w:fill="FFFFFF" w:themeFill="background1"/>
              <w:autoSpaceDE w:val="0"/>
              <w:autoSpaceDN w:val="0"/>
              <w:spacing w:after="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 xml:space="preserve">анықтау: логистикалық регрессия нәтижелері және </w:t>
            </w:r>
          </w:p>
          <w:p w14:paraId="15DC233C">
            <w:pPr>
              <w:widowControl w:val="0"/>
              <w:shd w:val="clear" w:color="auto" w:fill="FFFFFF" w:themeFill="background1"/>
              <w:autoSpaceDE w:val="0"/>
              <w:autoSpaceDN w:val="0"/>
              <w:spacing w:after="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модельдің прогностикалық сапасын бағалау…………………………</w:t>
            </w:r>
          </w:p>
        </w:tc>
        <w:tc>
          <w:tcPr>
            <w:tcW w:w="795" w:type="dxa"/>
            <w:shd w:val="clear" w:color="auto" w:fill="FFFFFF" w:themeFill="background1"/>
          </w:tcPr>
          <w:p w14:paraId="39406B6C">
            <w:pPr>
              <w:widowControl w:val="0"/>
              <w:shd w:val="clear" w:color="auto" w:fill="FFFFFF" w:themeFill="background1"/>
              <w:autoSpaceDE w:val="0"/>
              <w:autoSpaceDN w:val="0"/>
              <w:spacing w:after="0" w:line="276" w:lineRule="auto"/>
              <w:jc w:val="both"/>
              <w:outlineLvl w:val="0"/>
              <w:rPr>
                <w:rFonts w:ascii="Times New Roman" w:hAnsi="Times New Roman" w:eastAsia="Times New Roman" w:cs="Times New Roman"/>
                <w:color w:val="000000"/>
                <w:sz w:val="28"/>
                <w:szCs w:val="28"/>
                <w:lang w:val="kk-KZ" w:eastAsia="ru-RU"/>
              </w:rPr>
            </w:pPr>
          </w:p>
          <w:p w14:paraId="7765D1AB">
            <w:pPr>
              <w:widowControl w:val="0"/>
              <w:shd w:val="clear" w:color="auto" w:fill="FFFFFF" w:themeFill="background1"/>
              <w:autoSpaceDE w:val="0"/>
              <w:autoSpaceDN w:val="0"/>
              <w:spacing w:after="0" w:line="276" w:lineRule="auto"/>
              <w:jc w:val="both"/>
              <w:outlineLvl w:val="0"/>
              <w:rPr>
                <w:rFonts w:ascii="Times New Roman" w:hAnsi="Times New Roman" w:eastAsia="Times New Roman" w:cs="Times New Roman"/>
                <w:color w:val="000000"/>
                <w:sz w:val="28"/>
                <w:szCs w:val="28"/>
                <w:lang w:val="kk-KZ" w:eastAsia="ru-RU"/>
              </w:rPr>
            </w:pPr>
          </w:p>
          <w:p w14:paraId="1829793F">
            <w:pPr>
              <w:widowControl w:val="0"/>
              <w:shd w:val="clear" w:color="auto" w:fill="FFFFFF" w:themeFill="background1"/>
              <w:autoSpaceDE w:val="0"/>
              <w:autoSpaceDN w:val="0"/>
              <w:spacing w:after="0" w:line="276" w:lineRule="auto"/>
              <w:jc w:val="both"/>
              <w:outlineLvl w:val="0"/>
              <w:rPr>
                <w:rFonts w:ascii="Times New Roman" w:hAnsi="Times New Roman" w:eastAsia="Times New Roman" w:cs="Times New Roman"/>
                <w:color w:val="000000"/>
                <w:sz w:val="28"/>
                <w:szCs w:val="28"/>
                <w:lang w:val="kk-KZ" w:eastAsia="ru-RU"/>
              </w:rPr>
            </w:pPr>
            <w:r>
              <w:rPr>
                <w:rFonts w:ascii="Times New Roman" w:hAnsi="Times New Roman" w:eastAsia="Times New Roman" w:cs="Times New Roman"/>
                <w:color w:val="000000"/>
                <w:sz w:val="28"/>
                <w:szCs w:val="28"/>
                <w:lang w:val="kk-KZ" w:eastAsia="ru-RU"/>
              </w:rPr>
              <w:t>75</w:t>
            </w:r>
          </w:p>
        </w:tc>
      </w:tr>
      <w:tr w14:paraId="2814C8BB">
        <w:tblPrEx>
          <w:tblCellMar>
            <w:top w:w="15" w:type="dxa"/>
            <w:left w:w="15" w:type="dxa"/>
            <w:bottom w:w="15" w:type="dxa"/>
            <w:right w:w="15" w:type="dxa"/>
          </w:tblCellMar>
        </w:tblPrEx>
        <w:tc>
          <w:tcPr>
            <w:tcW w:w="900" w:type="dxa"/>
          </w:tcPr>
          <w:p w14:paraId="1A03CF38">
            <w:pPr>
              <w:widowControl w:val="0"/>
              <w:shd w:val="clear" w:color="auto" w:fill="FFFFFF" w:themeFill="background1"/>
              <w:autoSpaceDE w:val="0"/>
              <w:autoSpaceDN w:val="0"/>
              <w:spacing w:after="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3.9</w:t>
            </w:r>
          </w:p>
        </w:tc>
        <w:tc>
          <w:tcPr>
            <w:tcW w:w="8167" w:type="dxa"/>
            <w:shd w:val="clear" w:color="auto" w:fill="FFFFFF" w:themeFill="background1"/>
          </w:tcPr>
          <w:p w14:paraId="1F3149C6">
            <w:pPr>
              <w:widowControl w:val="0"/>
              <w:shd w:val="clear" w:color="auto" w:fill="FFFFFF" w:themeFill="background1"/>
              <w:autoSpaceDE w:val="0"/>
              <w:autoSpaceDN w:val="0"/>
              <w:spacing w:after="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 xml:space="preserve">Жүктілікке дейінгі семіздік және оның анемияның дамуына </w:t>
            </w:r>
          </w:p>
          <w:p w14:paraId="40E7EDC6">
            <w:pPr>
              <w:widowControl w:val="0"/>
              <w:shd w:val="clear" w:color="auto" w:fill="FFFFFF" w:themeFill="background1"/>
              <w:autoSpaceDE w:val="0"/>
              <w:autoSpaceDN w:val="0"/>
              <w:spacing w:after="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әсері: патогенез механизмінің сипаттамасын көрсететін алгоритм…</w:t>
            </w:r>
          </w:p>
          <w:p w14:paraId="1C998B4A">
            <w:pPr>
              <w:widowControl w:val="0"/>
              <w:shd w:val="clear" w:color="auto" w:fill="FFFFFF" w:themeFill="background1"/>
              <w:autoSpaceDE w:val="0"/>
              <w:autoSpaceDN w:val="0"/>
              <w:spacing w:after="0" w:line="276" w:lineRule="auto"/>
              <w:jc w:val="both"/>
              <w:outlineLvl w:val="0"/>
              <w:rPr>
                <w:rFonts w:ascii="Times New Roman" w:hAnsi="Times New Roman" w:eastAsia="Times New Roman" w:cs="Times New Roman"/>
                <w:sz w:val="28"/>
                <w:szCs w:val="28"/>
                <w:lang w:val="en-US" w:eastAsia="ru-RU"/>
              </w:rPr>
            </w:pPr>
          </w:p>
        </w:tc>
        <w:tc>
          <w:tcPr>
            <w:tcW w:w="795" w:type="dxa"/>
            <w:shd w:val="clear" w:color="auto" w:fill="FFFFFF" w:themeFill="background1"/>
          </w:tcPr>
          <w:p w14:paraId="49815EDD">
            <w:pPr>
              <w:widowControl w:val="0"/>
              <w:shd w:val="clear" w:color="auto" w:fill="FFFFFF" w:themeFill="background1"/>
              <w:autoSpaceDE w:val="0"/>
              <w:autoSpaceDN w:val="0"/>
              <w:spacing w:after="0" w:line="276" w:lineRule="auto"/>
              <w:jc w:val="both"/>
              <w:outlineLvl w:val="0"/>
              <w:rPr>
                <w:rFonts w:ascii="Times New Roman" w:hAnsi="Times New Roman" w:eastAsia="Times New Roman" w:cs="Times New Roman"/>
                <w:color w:val="000000"/>
                <w:sz w:val="28"/>
                <w:szCs w:val="28"/>
                <w:lang w:val="kk-KZ" w:eastAsia="ru-RU"/>
              </w:rPr>
            </w:pPr>
          </w:p>
          <w:p w14:paraId="03211AFB">
            <w:pPr>
              <w:widowControl w:val="0"/>
              <w:shd w:val="clear" w:color="auto" w:fill="FFFFFF" w:themeFill="background1"/>
              <w:autoSpaceDE w:val="0"/>
              <w:autoSpaceDN w:val="0"/>
              <w:spacing w:after="0" w:line="276" w:lineRule="auto"/>
              <w:jc w:val="both"/>
              <w:outlineLvl w:val="0"/>
              <w:rPr>
                <w:rFonts w:ascii="Times New Roman" w:hAnsi="Times New Roman" w:eastAsia="Times New Roman" w:cs="Times New Roman"/>
                <w:color w:val="000000"/>
                <w:sz w:val="28"/>
                <w:szCs w:val="28"/>
                <w:lang w:val="kk-KZ" w:eastAsia="ru-RU"/>
              </w:rPr>
            </w:pPr>
            <w:r>
              <w:rPr>
                <w:rFonts w:ascii="Times New Roman" w:hAnsi="Times New Roman" w:eastAsia="Times New Roman" w:cs="Times New Roman"/>
                <w:color w:val="000000"/>
                <w:sz w:val="28"/>
                <w:szCs w:val="28"/>
                <w:lang w:val="kk-KZ" w:eastAsia="ru-RU"/>
              </w:rPr>
              <w:t>78</w:t>
            </w:r>
          </w:p>
        </w:tc>
      </w:tr>
      <w:tr w14:paraId="428BE99F">
        <w:tblPrEx>
          <w:tblCellMar>
            <w:top w:w="15" w:type="dxa"/>
            <w:left w:w="15" w:type="dxa"/>
            <w:bottom w:w="15" w:type="dxa"/>
            <w:right w:w="15" w:type="dxa"/>
          </w:tblCellMar>
        </w:tblPrEx>
        <w:tc>
          <w:tcPr>
            <w:tcW w:w="9067" w:type="dxa"/>
            <w:gridSpan w:val="2"/>
            <w:shd w:val="clear" w:color="auto" w:fill="FFFFFF" w:themeFill="background1"/>
          </w:tcPr>
          <w:p w14:paraId="40657498">
            <w:pPr>
              <w:widowControl w:val="0"/>
              <w:shd w:val="clear" w:color="auto" w:fill="FFFFFF" w:themeFill="background1"/>
              <w:autoSpaceDE w:val="0"/>
              <w:autoSpaceDN w:val="0"/>
              <w:spacing w:before="100" w:beforeAutospacing="1" w:after="100" w:afterAutospacing="1" w:line="276" w:lineRule="auto"/>
              <w:jc w:val="both"/>
              <w:outlineLvl w:val="0"/>
              <w:rPr>
                <w:rFonts w:ascii="Times New Roman" w:hAnsi="Times New Roman" w:eastAsia="Times New Roman" w:cs="Times New Roman"/>
                <w:b/>
                <w:bCs/>
                <w:sz w:val="28"/>
                <w:szCs w:val="28"/>
                <w:lang w:val="en-US" w:eastAsia="ru-RU"/>
              </w:rPr>
            </w:pPr>
            <w:r>
              <w:rPr>
                <w:rFonts w:ascii="Times New Roman" w:hAnsi="Times New Roman" w:eastAsia="Times New Roman" w:cs="Times New Roman"/>
                <w:b/>
                <w:bCs/>
                <w:sz w:val="28"/>
                <w:szCs w:val="28"/>
                <w:lang w:val="en-US" w:eastAsia="ru-RU"/>
              </w:rPr>
              <w:t>ҚОРЫТЫНДЫ</w:t>
            </w:r>
            <w:r>
              <w:rPr>
                <w:rFonts w:ascii="Times New Roman" w:hAnsi="Times New Roman" w:eastAsia="Times New Roman" w:cs="Times New Roman"/>
                <w:sz w:val="28"/>
                <w:szCs w:val="28"/>
                <w:lang w:val="en-US" w:eastAsia="ru-RU"/>
              </w:rPr>
              <w:t>…………………………………………………………………</w:t>
            </w:r>
          </w:p>
        </w:tc>
        <w:tc>
          <w:tcPr>
            <w:tcW w:w="795" w:type="dxa"/>
            <w:shd w:val="clear" w:color="auto" w:fill="FFFFFF" w:themeFill="background1"/>
          </w:tcPr>
          <w:p w14:paraId="0F36C0B7">
            <w:pPr>
              <w:widowControl w:val="0"/>
              <w:shd w:val="clear" w:color="auto" w:fill="FFFFFF" w:themeFill="background1"/>
              <w:autoSpaceDE w:val="0"/>
              <w:autoSpaceDN w:val="0"/>
              <w:spacing w:before="100" w:beforeAutospacing="1" w:after="100" w:afterAutospacing="1" w:line="276" w:lineRule="auto"/>
              <w:jc w:val="both"/>
              <w:outlineLvl w:val="0"/>
              <w:rPr>
                <w:rFonts w:hint="default" w:ascii="Times New Roman" w:hAnsi="Times New Roman" w:eastAsia="Times New Roman" w:cs="Times New Roman"/>
                <w:color w:val="000000"/>
                <w:sz w:val="28"/>
                <w:szCs w:val="28"/>
                <w:lang w:val="kk-KZ" w:eastAsia="ru-RU"/>
              </w:rPr>
            </w:pPr>
            <w:r>
              <w:rPr>
                <w:rFonts w:ascii="Times New Roman" w:hAnsi="Times New Roman" w:eastAsia="Times New Roman" w:cs="Times New Roman"/>
                <w:color w:val="000000"/>
                <w:sz w:val="28"/>
                <w:szCs w:val="28"/>
                <w:lang w:val="en-US" w:eastAsia="ru-RU"/>
              </w:rPr>
              <w:t>8</w:t>
            </w:r>
            <w:r>
              <w:rPr>
                <w:rFonts w:hint="default" w:ascii="Times New Roman" w:hAnsi="Times New Roman" w:eastAsia="Times New Roman" w:cs="Times New Roman"/>
                <w:color w:val="000000"/>
                <w:sz w:val="28"/>
                <w:szCs w:val="28"/>
                <w:lang w:val="kk-KZ" w:eastAsia="ru-RU"/>
              </w:rPr>
              <w:t>2</w:t>
            </w:r>
          </w:p>
        </w:tc>
      </w:tr>
      <w:tr w14:paraId="26436D8B">
        <w:tblPrEx>
          <w:tblCellMar>
            <w:top w:w="15" w:type="dxa"/>
            <w:left w:w="15" w:type="dxa"/>
            <w:bottom w:w="15" w:type="dxa"/>
            <w:right w:w="15" w:type="dxa"/>
          </w:tblCellMar>
        </w:tblPrEx>
        <w:tc>
          <w:tcPr>
            <w:tcW w:w="9067" w:type="dxa"/>
            <w:gridSpan w:val="2"/>
            <w:shd w:val="clear" w:color="auto" w:fill="FFFFFF" w:themeFill="background1"/>
          </w:tcPr>
          <w:p w14:paraId="0C8E5AFF">
            <w:pPr>
              <w:widowControl w:val="0"/>
              <w:shd w:val="clear" w:color="auto" w:fill="FFFFFF" w:themeFill="background1"/>
              <w:autoSpaceDE w:val="0"/>
              <w:autoSpaceDN w:val="0"/>
              <w:spacing w:before="100" w:beforeAutospacing="1" w:after="100" w:afterAutospacing="1" w:line="276" w:lineRule="auto"/>
              <w:jc w:val="both"/>
              <w:outlineLvl w:val="0"/>
              <w:rPr>
                <w:rFonts w:ascii="Times New Roman" w:hAnsi="Times New Roman" w:eastAsia="Times New Roman" w:cs="Times New Roman"/>
                <w:b/>
                <w:bCs/>
                <w:sz w:val="28"/>
                <w:szCs w:val="28"/>
                <w:lang w:val="en-US" w:eastAsia="ru-RU"/>
              </w:rPr>
            </w:pPr>
            <w:r>
              <w:rPr>
                <w:rFonts w:ascii="Times New Roman" w:hAnsi="Times New Roman" w:eastAsia="Times New Roman" w:cs="Times New Roman"/>
                <w:b/>
                <w:bCs/>
                <w:sz w:val="28"/>
                <w:szCs w:val="28"/>
                <w:lang w:val="en-US" w:eastAsia="ru-RU"/>
              </w:rPr>
              <w:t>ПРАКТИКАЛЫҚ ҰСЫНЫСТАР</w:t>
            </w:r>
            <w:r>
              <w:rPr>
                <w:rFonts w:ascii="Times New Roman" w:hAnsi="Times New Roman" w:eastAsia="Times New Roman" w:cs="Times New Roman"/>
                <w:sz w:val="28"/>
                <w:szCs w:val="28"/>
                <w:lang w:val="en-US" w:eastAsia="ru-RU"/>
              </w:rPr>
              <w:t>…………………………………………...</w:t>
            </w:r>
          </w:p>
        </w:tc>
        <w:tc>
          <w:tcPr>
            <w:tcW w:w="795" w:type="dxa"/>
            <w:shd w:val="clear" w:color="auto" w:fill="FFFFFF" w:themeFill="background1"/>
          </w:tcPr>
          <w:p w14:paraId="4C45A122">
            <w:pPr>
              <w:widowControl w:val="0"/>
              <w:shd w:val="clear" w:color="auto" w:fill="FFFFFF" w:themeFill="background1"/>
              <w:autoSpaceDE w:val="0"/>
              <w:autoSpaceDN w:val="0"/>
              <w:spacing w:before="100" w:beforeAutospacing="1" w:after="100" w:afterAutospacing="1" w:line="276" w:lineRule="auto"/>
              <w:jc w:val="both"/>
              <w:outlineLvl w:val="0"/>
              <w:rPr>
                <w:rFonts w:ascii="Times New Roman" w:hAnsi="Times New Roman" w:eastAsia="Times New Roman" w:cs="Times New Roman"/>
                <w:color w:val="000000"/>
                <w:sz w:val="28"/>
                <w:szCs w:val="28"/>
                <w:lang w:val="kk-KZ" w:eastAsia="ru-RU"/>
              </w:rPr>
            </w:pPr>
            <w:r>
              <w:rPr>
                <w:rFonts w:ascii="Times New Roman" w:hAnsi="Times New Roman" w:eastAsia="Times New Roman" w:cs="Times New Roman"/>
                <w:color w:val="000000"/>
                <w:sz w:val="28"/>
                <w:szCs w:val="28"/>
                <w:lang w:val="en-US" w:eastAsia="ru-RU"/>
              </w:rPr>
              <w:t>8</w:t>
            </w:r>
            <w:r>
              <w:rPr>
                <w:rFonts w:ascii="Times New Roman" w:hAnsi="Times New Roman" w:eastAsia="Times New Roman" w:cs="Times New Roman"/>
                <w:color w:val="000000"/>
                <w:sz w:val="28"/>
                <w:szCs w:val="28"/>
                <w:lang w:val="kk-KZ" w:eastAsia="ru-RU"/>
              </w:rPr>
              <w:t>5</w:t>
            </w:r>
          </w:p>
        </w:tc>
      </w:tr>
      <w:tr w14:paraId="6D30CB18">
        <w:tblPrEx>
          <w:tblCellMar>
            <w:top w:w="15" w:type="dxa"/>
            <w:left w:w="15" w:type="dxa"/>
            <w:bottom w:w="15" w:type="dxa"/>
            <w:right w:w="15" w:type="dxa"/>
          </w:tblCellMar>
        </w:tblPrEx>
        <w:tc>
          <w:tcPr>
            <w:tcW w:w="9067" w:type="dxa"/>
            <w:gridSpan w:val="2"/>
            <w:shd w:val="clear" w:color="auto" w:fill="FFFFFF" w:themeFill="background1"/>
          </w:tcPr>
          <w:p w14:paraId="03CE3F52">
            <w:pPr>
              <w:widowControl w:val="0"/>
              <w:shd w:val="clear" w:color="auto" w:fill="FFFFFF" w:themeFill="background1"/>
              <w:autoSpaceDE w:val="0"/>
              <w:autoSpaceDN w:val="0"/>
              <w:spacing w:before="100" w:beforeAutospacing="1" w:after="100" w:afterAutospacing="1" w:line="276" w:lineRule="auto"/>
              <w:jc w:val="both"/>
              <w:outlineLvl w:val="0"/>
              <w:rPr>
                <w:rFonts w:ascii="Times New Roman" w:hAnsi="Times New Roman" w:eastAsia="Times New Roman" w:cs="Times New Roman"/>
                <w:b/>
                <w:bCs/>
                <w:sz w:val="28"/>
                <w:szCs w:val="28"/>
                <w:lang w:val="en-US" w:eastAsia="ru-RU"/>
              </w:rPr>
            </w:pPr>
            <w:r>
              <w:rPr>
                <w:rFonts w:ascii="Times New Roman" w:hAnsi="Times New Roman" w:eastAsia="Times New Roman" w:cs="Times New Roman"/>
                <w:b/>
                <w:bCs/>
                <w:sz w:val="28"/>
                <w:szCs w:val="28"/>
                <w:lang w:val="en-US" w:eastAsia="ru-RU"/>
              </w:rPr>
              <w:t>ҚОЛДАНЫЛҒАН ӘДЕБИЕТТЕР</w:t>
            </w:r>
            <w:r>
              <w:rPr>
                <w:rFonts w:ascii="Times New Roman" w:hAnsi="Times New Roman" w:eastAsia="Times New Roman" w:cs="Times New Roman"/>
                <w:sz w:val="28"/>
                <w:szCs w:val="28"/>
                <w:lang w:val="en-US" w:eastAsia="ru-RU"/>
              </w:rPr>
              <w:t>…………………………………………...</w:t>
            </w:r>
          </w:p>
        </w:tc>
        <w:tc>
          <w:tcPr>
            <w:tcW w:w="795" w:type="dxa"/>
            <w:shd w:val="clear" w:color="auto" w:fill="FFFFFF" w:themeFill="background1"/>
          </w:tcPr>
          <w:p w14:paraId="1A5FEDC1">
            <w:pPr>
              <w:widowControl w:val="0"/>
              <w:shd w:val="clear" w:color="auto" w:fill="FFFFFF" w:themeFill="background1"/>
              <w:autoSpaceDE w:val="0"/>
              <w:autoSpaceDN w:val="0"/>
              <w:spacing w:before="100" w:beforeAutospacing="1" w:after="100" w:afterAutospacing="1" w:line="276" w:lineRule="auto"/>
              <w:jc w:val="both"/>
              <w:outlineLvl w:val="0"/>
              <w:rPr>
                <w:rFonts w:ascii="Times New Roman" w:hAnsi="Times New Roman" w:eastAsia="Times New Roman" w:cs="Times New Roman"/>
                <w:color w:val="000000"/>
                <w:sz w:val="28"/>
                <w:szCs w:val="28"/>
                <w:lang w:val="kk-KZ" w:eastAsia="ru-RU"/>
              </w:rPr>
            </w:pPr>
            <w:r>
              <w:rPr>
                <w:rFonts w:ascii="Times New Roman" w:hAnsi="Times New Roman" w:eastAsia="Times New Roman" w:cs="Times New Roman"/>
                <w:color w:val="000000"/>
                <w:sz w:val="28"/>
                <w:szCs w:val="28"/>
                <w:lang w:val="kk-KZ" w:eastAsia="ru-RU"/>
              </w:rPr>
              <w:t>86</w:t>
            </w:r>
          </w:p>
        </w:tc>
      </w:tr>
      <w:tr w14:paraId="6F701080">
        <w:tblPrEx>
          <w:tblCellMar>
            <w:top w:w="15" w:type="dxa"/>
            <w:left w:w="15" w:type="dxa"/>
            <w:bottom w:w="15" w:type="dxa"/>
            <w:right w:w="15" w:type="dxa"/>
          </w:tblCellMar>
        </w:tblPrEx>
        <w:tc>
          <w:tcPr>
            <w:tcW w:w="9067" w:type="dxa"/>
            <w:gridSpan w:val="2"/>
            <w:shd w:val="clear" w:color="auto" w:fill="FFFFFF" w:themeFill="background1"/>
          </w:tcPr>
          <w:p w14:paraId="03EC4A96">
            <w:pPr>
              <w:widowControl w:val="0"/>
              <w:shd w:val="clear" w:color="auto" w:fill="FFFFFF" w:themeFill="background1"/>
              <w:autoSpaceDE w:val="0"/>
              <w:autoSpaceDN w:val="0"/>
              <w:spacing w:before="100" w:beforeAutospacing="1" w:after="100" w:afterAutospacing="1" w:line="276" w:lineRule="auto"/>
              <w:jc w:val="both"/>
              <w:outlineLvl w:val="0"/>
              <w:rPr>
                <w:rFonts w:ascii="Times New Roman" w:hAnsi="Times New Roman" w:eastAsia="Times New Roman" w:cs="Times New Roman"/>
                <w:b/>
                <w:bCs/>
                <w:sz w:val="28"/>
                <w:szCs w:val="28"/>
                <w:lang w:val="en-US" w:eastAsia="ru-RU"/>
              </w:rPr>
            </w:pPr>
            <w:r>
              <w:rPr>
                <w:rFonts w:ascii="Times New Roman" w:hAnsi="Times New Roman" w:eastAsia="Times New Roman" w:cs="Times New Roman"/>
                <w:b/>
                <w:bCs/>
                <w:sz w:val="28"/>
                <w:szCs w:val="28"/>
                <w:lang w:val="en-US" w:eastAsia="ru-RU"/>
              </w:rPr>
              <w:t>ҚОСЫМША A</w:t>
            </w:r>
            <w:r>
              <w:rPr>
                <w:rFonts w:ascii="Times New Roman" w:hAnsi="Times New Roman" w:eastAsia="Times New Roman" w:cs="Times New Roman"/>
                <w:sz w:val="28"/>
                <w:szCs w:val="28"/>
                <w:lang w:val="en-US" w:eastAsia="ru-RU"/>
              </w:rPr>
              <w:t>………………………………………………………………….</w:t>
            </w:r>
          </w:p>
        </w:tc>
        <w:tc>
          <w:tcPr>
            <w:tcW w:w="795" w:type="dxa"/>
            <w:shd w:val="clear" w:color="auto" w:fill="FFFFFF" w:themeFill="background1"/>
          </w:tcPr>
          <w:p w14:paraId="1AF62181">
            <w:pPr>
              <w:widowControl w:val="0"/>
              <w:shd w:val="clear" w:color="auto" w:fill="FFFFFF" w:themeFill="background1"/>
              <w:autoSpaceDE w:val="0"/>
              <w:autoSpaceDN w:val="0"/>
              <w:spacing w:before="100" w:beforeAutospacing="1" w:after="100" w:afterAutospacing="1" w:line="276" w:lineRule="auto"/>
              <w:jc w:val="both"/>
              <w:outlineLvl w:val="0"/>
              <w:rPr>
                <w:rFonts w:ascii="Times New Roman" w:hAnsi="Times New Roman" w:eastAsia="Times New Roman" w:cs="Times New Roman"/>
                <w:color w:val="000000"/>
                <w:sz w:val="28"/>
                <w:szCs w:val="28"/>
                <w:lang w:val="kk-KZ" w:eastAsia="ru-RU"/>
              </w:rPr>
            </w:pPr>
            <w:r>
              <w:rPr>
                <w:rFonts w:ascii="Times New Roman" w:hAnsi="Times New Roman" w:eastAsia="Times New Roman" w:cs="Times New Roman"/>
                <w:color w:val="000000"/>
                <w:sz w:val="28"/>
                <w:szCs w:val="28"/>
                <w:lang w:val="en-US" w:eastAsia="ru-RU"/>
              </w:rPr>
              <w:t>10</w:t>
            </w:r>
            <w:r>
              <w:rPr>
                <w:rFonts w:ascii="Times New Roman" w:hAnsi="Times New Roman" w:eastAsia="Times New Roman" w:cs="Times New Roman"/>
                <w:color w:val="000000"/>
                <w:sz w:val="28"/>
                <w:szCs w:val="28"/>
                <w:lang w:val="kk-KZ" w:eastAsia="ru-RU"/>
              </w:rPr>
              <w:t>4</w:t>
            </w:r>
          </w:p>
        </w:tc>
      </w:tr>
      <w:tr w14:paraId="6DABDC61">
        <w:tblPrEx>
          <w:tblCellMar>
            <w:top w:w="15" w:type="dxa"/>
            <w:left w:w="15" w:type="dxa"/>
            <w:bottom w:w="15" w:type="dxa"/>
            <w:right w:w="15" w:type="dxa"/>
          </w:tblCellMar>
        </w:tblPrEx>
        <w:tc>
          <w:tcPr>
            <w:tcW w:w="9067" w:type="dxa"/>
            <w:gridSpan w:val="2"/>
            <w:shd w:val="clear" w:color="auto" w:fill="FFFFFF" w:themeFill="background1"/>
          </w:tcPr>
          <w:p w14:paraId="3935F902">
            <w:pPr>
              <w:widowControl w:val="0"/>
              <w:shd w:val="clear" w:color="auto" w:fill="FFFFFF" w:themeFill="background1"/>
              <w:autoSpaceDE w:val="0"/>
              <w:autoSpaceDN w:val="0"/>
              <w:spacing w:before="100" w:beforeAutospacing="1" w:after="100" w:afterAutospacing="1" w:line="276" w:lineRule="auto"/>
              <w:jc w:val="both"/>
              <w:outlineLvl w:val="0"/>
              <w:rPr>
                <w:rFonts w:ascii="Times New Roman" w:hAnsi="Times New Roman" w:eastAsia="Times New Roman" w:cs="Times New Roman"/>
                <w:b/>
                <w:bCs/>
                <w:sz w:val="28"/>
                <w:szCs w:val="28"/>
                <w:lang w:val="en-US" w:eastAsia="ru-RU"/>
              </w:rPr>
            </w:pPr>
            <w:r>
              <w:rPr>
                <w:rFonts w:ascii="Times New Roman" w:hAnsi="Times New Roman" w:eastAsia="Times New Roman" w:cs="Times New Roman"/>
                <w:b/>
                <w:bCs/>
                <w:sz w:val="28"/>
                <w:szCs w:val="28"/>
                <w:lang w:val="en-US" w:eastAsia="ru-RU"/>
              </w:rPr>
              <w:t>ҚОСЫМША Ә</w:t>
            </w:r>
            <w:r>
              <w:rPr>
                <w:rFonts w:ascii="Times New Roman" w:hAnsi="Times New Roman" w:eastAsia="Times New Roman" w:cs="Times New Roman"/>
                <w:sz w:val="28"/>
                <w:szCs w:val="28"/>
                <w:lang w:val="en-US" w:eastAsia="ru-RU"/>
              </w:rPr>
              <w:t>………………………………………………………………….</w:t>
            </w:r>
          </w:p>
        </w:tc>
        <w:tc>
          <w:tcPr>
            <w:tcW w:w="795" w:type="dxa"/>
            <w:shd w:val="clear" w:color="auto" w:fill="FFFFFF" w:themeFill="background1"/>
          </w:tcPr>
          <w:p w14:paraId="669E9AF7">
            <w:pPr>
              <w:widowControl w:val="0"/>
              <w:shd w:val="clear" w:color="auto" w:fill="FFFFFF" w:themeFill="background1"/>
              <w:autoSpaceDE w:val="0"/>
              <w:autoSpaceDN w:val="0"/>
              <w:spacing w:before="100" w:beforeAutospacing="1" w:after="100" w:afterAutospacing="1" w:line="276" w:lineRule="auto"/>
              <w:jc w:val="both"/>
              <w:outlineLvl w:val="0"/>
              <w:rPr>
                <w:rFonts w:ascii="Times New Roman" w:hAnsi="Times New Roman" w:eastAsia="Times New Roman" w:cs="Times New Roman"/>
                <w:color w:val="000000"/>
                <w:sz w:val="28"/>
                <w:szCs w:val="28"/>
                <w:lang w:val="kk-KZ" w:eastAsia="ru-RU"/>
              </w:rPr>
            </w:pPr>
            <w:r>
              <w:rPr>
                <w:rFonts w:ascii="Times New Roman" w:hAnsi="Times New Roman" w:eastAsia="Times New Roman" w:cs="Times New Roman"/>
                <w:color w:val="000000"/>
                <w:sz w:val="28"/>
                <w:szCs w:val="28"/>
                <w:lang w:val="en-US" w:eastAsia="ru-RU"/>
              </w:rPr>
              <w:t>1</w:t>
            </w:r>
            <w:r>
              <w:rPr>
                <w:rFonts w:ascii="Times New Roman" w:hAnsi="Times New Roman" w:eastAsia="Times New Roman" w:cs="Times New Roman"/>
                <w:color w:val="000000"/>
                <w:sz w:val="28"/>
                <w:szCs w:val="28"/>
                <w:lang w:val="kk-KZ" w:eastAsia="ru-RU"/>
              </w:rPr>
              <w:t>07</w:t>
            </w:r>
          </w:p>
        </w:tc>
      </w:tr>
      <w:tr w14:paraId="5604CC12">
        <w:tblPrEx>
          <w:tblCellMar>
            <w:top w:w="15" w:type="dxa"/>
            <w:left w:w="15" w:type="dxa"/>
            <w:bottom w:w="15" w:type="dxa"/>
            <w:right w:w="15" w:type="dxa"/>
          </w:tblCellMar>
        </w:tblPrEx>
        <w:tc>
          <w:tcPr>
            <w:tcW w:w="9067" w:type="dxa"/>
            <w:gridSpan w:val="2"/>
            <w:shd w:val="clear" w:color="auto" w:fill="FFFFFF" w:themeFill="background1"/>
          </w:tcPr>
          <w:p w14:paraId="75326F98">
            <w:pPr>
              <w:widowControl w:val="0"/>
              <w:shd w:val="clear" w:color="auto" w:fill="FFFFFF" w:themeFill="background1"/>
              <w:autoSpaceDE w:val="0"/>
              <w:autoSpaceDN w:val="0"/>
              <w:spacing w:before="100" w:beforeAutospacing="1" w:after="100" w:afterAutospacing="1" w:line="276" w:lineRule="auto"/>
              <w:jc w:val="both"/>
              <w:outlineLvl w:val="0"/>
              <w:rPr>
                <w:rFonts w:ascii="Times New Roman" w:hAnsi="Times New Roman" w:eastAsia="Times New Roman" w:cs="Times New Roman"/>
                <w:b/>
                <w:bCs/>
                <w:sz w:val="28"/>
                <w:szCs w:val="28"/>
                <w:lang w:val="en-US" w:eastAsia="ru-RU"/>
              </w:rPr>
            </w:pPr>
            <w:r>
              <w:rPr>
                <w:rFonts w:ascii="Times New Roman" w:hAnsi="Times New Roman" w:eastAsia="Times New Roman" w:cs="Times New Roman"/>
                <w:b/>
                <w:bCs/>
                <w:sz w:val="28"/>
                <w:szCs w:val="28"/>
                <w:lang w:val="en-US" w:eastAsia="ru-RU"/>
              </w:rPr>
              <w:t>ҚОСЫМША Б</w:t>
            </w:r>
            <w:r>
              <w:rPr>
                <w:rFonts w:ascii="Times New Roman" w:hAnsi="Times New Roman" w:eastAsia="Times New Roman" w:cs="Times New Roman"/>
                <w:sz w:val="28"/>
                <w:szCs w:val="28"/>
                <w:lang w:val="en-US" w:eastAsia="ru-RU"/>
              </w:rPr>
              <w:t>………………………………………………………………….</w:t>
            </w:r>
          </w:p>
        </w:tc>
        <w:tc>
          <w:tcPr>
            <w:tcW w:w="795" w:type="dxa"/>
            <w:shd w:val="clear" w:color="auto" w:fill="FFFFFF" w:themeFill="background1"/>
          </w:tcPr>
          <w:p w14:paraId="2AF00BE3">
            <w:pPr>
              <w:widowControl w:val="0"/>
              <w:shd w:val="clear" w:color="auto" w:fill="FFFFFF" w:themeFill="background1"/>
              <w:autoSpaceDE w:val="0"/>
              <w:autoSpaceDN w:val="0"/>
              <w:spacing w:before="100" w:beforeAutospacing="1" w:after="100" w:afterAutospacing="1" w:line="276" w:lineRule="auto"/>
              <w:jc w:val="both"/>
              <w:outlineLvl w:val="0"/>
              <w:rPr>
                <w:rFonts w:ascii="Times New Roman" w:hAnsi="Times New Roman" w:eastAsia="Times New Roman" w:cs="Times New Roman"/>
                <w:color w:val="000000"/>
                <w:sz w:val="28"/>
                <w:szCs w:val="28"/>
                <w:lang w:val="kk-KZ" w:eastAsia="ru-RU"/>
              </w:rPr>
            </w:pPr>
            <w:r>
              <w:rPr>
                <w:rFonts w:ascii="Times New Roman" w:hAnsi="Times New Roman" w:eastAsia="Times New Roman" w:cs="Times New Roman"/>
                <w:color w:val="000000"/>
                <w:sz w:val="28"/>
                <w:szCs w:val="28"/>
                <w:lang w:val="kk-KZ" w:eastAsia="ru-RU"/>
              </w:rPr>
              <w:t>109</w:t>
            </w:r>
          </w:p>
        </w:tc>
      </w:tr>
      <w:tr w14:paraId="69E46F7C">
        <w:tblPrEx>
          <w:tblCellMar>
            <w:top w:w="15" w:type="dxa"/>
            <w:left w:w="15" w:type="dxa"/>
            <w:bottom w:w="15" w:type="dxa"/>
            <w:right w:w="15" w:type="dxa"/>
          </w:tblCellMar>
        </w:tblPrEx>
        <w:tc>
          <w:tcPr>
            <w:tcW w:w="9067" w:type="dxa"/>
            <w:gridSpan w:val="2"/>
            <w:shd w:val="clear" w:color="auto" w:fill="FFFFFF" w:themeFill="background1"/>
          </w:tcPr>
          <w:p w14:paraId="1115A8C2">
            <w:pPr>
              <w:widowControl w:val="0"/>
              <w:shd w:val="clear" w:color="auto" w:fill="FFFFFF" w:themeFill="background1"/>
              <w:autoSpaceDE w:val="0"/>
              <w:autoSpaceDN w:val="0"/>
              <w:spacing w:before="100" w:beforeAutospacing="1" w:after="100" w:afterAutospacing="1" w:line="276" w:lineRule="auto"/>
              <w:jc w:val="both"/>
              <w:outlineLvl w:val="0"/>
              <w:rPr>
                <w:rFonts w:ascii="Times New Roman" w:hAnsi="Times New Roman" w:eastAsia="Times New Roman" w:cs="Times New Roman"/>
                <w:b/>
                <w:bCs/>
                <w:sz w:val="28"/>
                <w:szCs w:val="28"/>
                <w:lang w:val="en-US" w:eastAsia="ru-RU"/>
              </w:rPr>
            </w:pPr>
            <w:r>
              <w:rPr>
                <w:rFonts w:ascii="Times New Roman" w:hAnsi="Times New Roman" w:eastAsia="Times New Roman" w:cs="Times New Roman"/>
                <w:b/>
                <w:bCs/>
                <w:sz w:val="28"/>
                <w:szCs w:val="28"/>
                <w:lang w:val="en-US" w:eastAsia="ru-RU"/>
              </w:rPr>
              <w:t>ҚОСЫМША В</w:t>
            </w:r>
            <w:r>
              <w:rPr>
                <w:rFonts w:ascii="Times New Roman" w:hAnsi="Times New Roman" w:eastAsia="Times New Roman" w:cs="Times New Roman"/>
                <w:sz w:val="28"/>
                <w:szCs w:val="28"/>
                <w:lang w:val="en-US" w:eastAsia="ru-RU"/>
              </w:rPr>
              <w:t>………………………………………………………………….</w:t>
            </w:r>
          </w:p>
        </w:tc>
        <w:tc>
          <w:tcPr>
            <w:tcW w:w="795" w:type="dxa"/>
            <w:shd w:val="clear" w:color="auto" w:fill="FFFFFF" w:themeFill="background1"/>
          </w:tcPr>
          <w:p w14:paraId="06F7C244">
            <w:pPr>
              <w:widowControl w:val="0"/>
              <w:shd w:val="clear" w:color="auto" w:fill="FFFFFF" w:themeFill="background1"/>
              <w:autoSpaceDE w:val="0"/>
              <w:autoSpaceDN w:val="0"/>
              <w:spacing w:before="100" w:beforeAutospacing="1" w:after="100" w:afterAutospacing="1" w:line="276" w:lineRule="auto"/>
              <w:jc w:val="both"/>
              <w:outlineLvl w:val="0"/>
              <w:rPr>
                <w:rFonts w:ascii="Times New Roman" w:hAnsi="Times New Roman" w:eastAsia="Times New Roman" w:cs="Times New Roman"/>
                <w:sz w:val="28"/>
                <w:szCs w:val="28"/>
                <w:lang w:val="kk-KZ" w:eastAsia="ru-RU"/>
              </w:rPr>
            </w:pPr>
            <w:r>
              <w:rPr>
                <w:rFonts w:ascii="Times New Roman" w:hAnsi="Times New Roman" w:eastAsia="Times New Roman" w:cs="Times New Roman"/>
                <w:sz w:val="28"/>
                <w:szCs w:val="28"/>
                <w:lang w:val="kk-KZ" w:eastAsia="ru-RU"/>
              </w:rPr>
              <w:t>110</w:t>
            </w:r>
          </w:p>
        </w:tc>
      </w:tr>
    </w:tbl>
    <w:p w14:paraId="7B95DE81">
      <w:pPr>
        <w:shd w:val="clear" w:color="auto" w:fill="FFFFFF" w:themeFill="background1"/>
        <w:spacing w:before="100" w:beforeAutospacing="1" w:after="100" w:afterAutospacing="1" w:line="276" w:lineRule="auto"/>
        <w:ind w:firstLine="709"/>
        <w:jc w:val="both"/>
        <w:outlineLvl w:val="0"/>
        <w:rPr>
          <w:rFonts w:ascii="Times New Roman" w:hAnsi="Times New Roman" w:eastAsia="Times New Roman" w:cs="Times New Roman"/>
          <w:sz w:val="28"/>
          <w:szCs w:val="28"/>
          <w:lang w:eastAsia="ru-RU"/>
        </w:rPr>
        <w:sectPr>
          <w:pgSz w:w="12240" w:h="15840"/>
          <w:pgMar w:top="1134" w:right="850" w:bottom="1134" w:left="1701" w:header="720" w:footer="720" w:gutter="0"/>
          <w:cols w:space="720" w:num="1"/>
        </w:sectPr>
      </w:pPr>
    </w:p>
    <w:p w14:paraId="3F8601BC">
      <w:pPr>
        <w:widowControl w:val="0"/>
        <w:autoSpaceDE w:val="0"/>
        <w:autoSpaceDN w:val="0"/>
        <w:spacing w:before="100" w:beforeAutospacing="1" w:after="100" w:afterAutospacing="1" w:line="276" w:lineRule="auto"/>
        <w:ind w:firstLine="709"/>
        <w:jc w:val="both"/>
        <w:outlineLvl w:val="0"/>
        <w:rPr>
          <w:rFonts w:ascii="Times New Roman" w:hAnsi="Times New Roman" w:eastAsia="Times New Roman" w:cs="Times New Roman"/>
          <w:b/>
          <w:bCs/>
          <w:sz w:val="28"/>
          <w:szCs w:val="28"/>
          <w:lang w:eastAsia="ru-RU"/>
        </w:rPr>
      </w:pPr>
      <w:r>
        <w:rPr>
          <w:rFonts w:ascii="Times New Roman" w:hAnsi="Times New Roman" w:eastAsia="Times New Roman" w:cs="Times New Roman"/>
          <w:b/>
          <w:bCs/>
          <w:sz w:val="28"/>
          <w:szCs w:val="28"/>
          <w:lang w:eastAsia="ru-RU"/>
        </w:rPr>
        <w:t>НОРМАТИВТІ СІЛТЕМЕЛЕР</w:t>
      </w:r>
    </w:p>
    <w:p w14:paraId="12FD6157">
      <w:pPr>
        <w:widowControl w:val="0"/>
        <w:autoSpaceDE w:val="0"/>
        <w:autoSpaceDN w:val="0"/>
        <w:spacing w:after="0" w:line="276" w:lineRule="auto"/>
        <w:ind w:firstLine="709"/>
        <w:jc w:val="both"/>
        <w:outlineLvl w:val="0"/>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Диссертациялық жұмыста қолданылған негізгі стандарттар мен нормативтік құжаттар:</w:t>
      </w:r>
    </w:p>
    <w:p w14:paraId="1D8C0A7E">
      <w:pPr>
        <w:widowControl w:val="0"/>
        <w:autoSpaceDE w:val="0"/>
        <w:autoSpaceDN w:val="0"/>
        <w:spacing w:after="0" w:line="276" w:lineRule="auto"/>
        <w:ind w:firstLine="709"/>
        <w:jc w:val="both"/>
        <w:outlineLvl w:val="0"/>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МЕМСТ–7.32–2001–Ақпарат, кітапханалық және баспа ісі бойынша стандарттар жүйесі. Ғылыми – зерттеу жұмыстарына арналған есептер, құрылымы және рәсімдеу ережелері.</w:t>
      </w:r>
    </w:p>
    <w:p w14:paraId="207B4CFB">
      <w:pPr>
        <w:widowControl w:val="0"/>
        <w:autoSpaceDE w:val="0"/>
        <w:autoSpaceDN w:val="0"/>
        <w:spacing w:after="0" w:line="276" w:lineRule="auto"/>
        <w:ind w:firstLine="709"/>
        <w:jc w:val="both"/>
        <w:outlineLvl w:val="0"/>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 xml:space="preserve">МЕММТ–15.101–98–Жобалау және өндіріске енгізу жүйесі. Ғылыми – зертеу жұмыстарының орындалу тәртібі. </w:t>
      </w:r>
    </w:p>
    <w:p w14:paraId="3544FE6B">
      <w:pPr>
        <w:widowControl w:val="0"/>
        <w:autoSpaceDE w:val="0"/>
        <w:autoSpaceDN w:val="0"/>
        <w:spacing w:after="0" w:line="276" w:lineRule="auto"/>
        <w:ind w:firstLine="709"/>
        <w:jc w:val="both"/>
        <w:outlineLvl w:val="0"/>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 xml:space="preserve">МЕМСТ–7.1–84–Ақпаратттық жүйелерге қатысты стандарттар. Құжаттардың библиограиялық сипаттамасы, жасалуы және қолданылуы бойынша жалпы ережелер. </w:t>
      </w:r>
    </w:p>
    <w:p w14:paraId="32E1226B">
      <w:pPr>
        <w:widowControl w:val="0"/>
        <w:autoSpaceDE w:val="0"/>
        <w:autoSpaceDN w:val="0"/>
        <w:spacing w:after="0" w:line="276" w:lineRule="auto"/>
        <w:ind w:firstLine="709"/>
        <w:jc w:val="both"/>
        <w:outlineLvl w:val="0"/>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МЕМСТ–7.9–95–Реферат және аннотация. Ақпараттар, кітапханалық және баспаішілік талаптар.</w:t>
      </w:r>
    </w:p>
    <w:p w14:paraId="01F22AA8">
      <w:pPr>
        <w:widowControl w:val="0"/>
        <w:autoSpaceDE w:val="0"/>
        <w:autoSpaceDN w:val="0"/>
        <w:spacing w:after="0" w:line="276" w:lineRule="auto"/>
        <w:ind w:firstLine="709"/>
        <w:jc w:val="both"/>
        <w:outlineLvl w:val="0"/>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 xml:space="preserve">МЕМСТ–7.12–93–Библиографиялық жазбалар. Қысқартылған сөздер мен орыс тіліндегі терминологияның қолданылуы. Жалпы ережелері мн талаптары. </w:t>
      </w:r>
    </w:p>
    <w:p w14:paraId="425B22F5">
      <w:pPr>
        <w:widowControl w:val="0"/>
        <w:autoSpaceDE w:val="0"/>
        <w:autoSpaceDN w:val="0"/>
        <w:spacing w:after="0" w:line="276" w:lineRule="auto"/>
        <w:ind w:firstLine="709"/>
        <w:jc w:val="both"/>
        <w:outlineLvl w:val="0"/>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МЕМСТ–7.54–88–Ғылыми–техникалық құжаттарға сәйкес, материалдық қасиеттеріне қатысты сандақ деректерді ұсыну.</w:t>
      </w:r>
    </w:p>
    <w:p w14:paraId="3D58E620">
      <w:pPr>
        <w:widowControl w:val="0"/>
        <w:autoSpaceDE w:val="0"/>
        <w:autoSpaceDN w:val="0"/>
        <w:spacing w:after="0" w:line="276" w:lineRule="auto"/>
        <w:ind w:firstLine="709"/>
        <w:jc w:val="both"/>
        <w:outlineLvl w:val="0"/>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Денсаулық сақтау сапасы жөніндегі бірлескен комиссиясы. Қазақстан Республикасы Денсаулық сақтау министрлігі, 2020 жылдың 30 қазаны, №119 хаттама «Жүкті әйелдердегі тапшылық анемиясы».</w:t>
      </w:r>
    </w:p>
    <w:p w14:paraId="1681314B">
      <w:pPr>
        <w:widowControl w:val="0"/>
        <w:autoSpaceDE w:val="0"/>
        <w:autoSpaceDN w:val="0"/>
        <w:spacing w:before="100" w:beforeAutospacing="1" w:after="100" w:afterAutospacing="1"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 </w:t>
      </w:r>
    </w:p>
    <w:p w14:paraId="754CD1A6">
      <w:pPr>
        <w:widowControl w:val="0"/>
        <w:autoSpaceDE w:val="0"/>
        <w:autoSpaceDN w:val="0"/>
        <w:spacing w:before="100" w:beforeAutospacing="1" w:after="100" w:afterAutospacing="1" w:line="276" w:lineRule="auto"/>
        <w:ind w:firstLine="709"/>
        <w:jc w:val="both"/>
        <w:outlineLvl w:val="0"/>
        <w:rPr>
          <w:rFonts w:ascii="Times New Roman" w:hAnsi="Times New Roman" w:eastAsia="Times New Roman" w:cs="Times New Roman"/>
          <w:b/>
          <w:bCs/>
          <w:kern w:val="36"/>
          <w:sz w:val="28"/>
          <w:szCs w:val="28"/>
          <w:lang w:eastAsia="ru-RU"/>
        </w:rPr>
      </w:pPr>
      <w:r>
        <w:rPr>
          <w:rFonts w:ascii="Times New Roman" w:hAnsi="Times New Roman" w:eastAsia="Times New Roman" w:cs="Times New Roman"/>
          <w:b/>
          <w:bCs/>
          <w:kern w:val="36"/>
          <w:sz w:val="28"/>
          <w:szCs w:val="28"/>
          <w:lang w:eastAsia="ru-RU"/>
        </w:rPr>
        <w:t xml:space="preserve"> </w:t>
      </w:r>
    </w:p>
    <w:p w14:paraId="1F13D17B">
      <w:pPr>
        <w:widowControl w:val="0"/>
        <w:autoSpaceDE w:val="0"/>
        <w:autoSpaceDN w:val="0"/>
        <w:spacing w:before="100" w:beforeAutospacing="1" w:after="100" w:afterAutospacing="1" w:line="276" w:lineRule="auto"/>
        <w:ind w:firstLine="709"/>
        <w:jc w:val="both"/>
        <w:outlineLvl w:val="0"/>
        <w:rPr>
          <w:rFonts w:ascii="Times New Roman" w:hAnsi="Times New Roman" w:eastAsia="Times New Roman" w:cs="Times New Roman"/>
          <w:b/>
          <w:bCs/>
          <w:kern w:val="36"/>
          <w:sz w:val="28"/>
          <w:szCs w:val="28"/>
          <w:lang w:eastAsia="ru-RU"/>
        </w:rPr>
      </w:pPr>
      <w:r>
        <w:rPr>
          <w:rFonts w:ascii="Times New Roman" w:hAnsi="Times New Roman" w:eastAsia="Times New Roman" w:cs="Times New Roman"/>
          <w:b/>
          <w:bCs/>
          <w:kern w:val="36"/>
          <w:sz w:val="28"/>
          <w:szCs w:val="28"/>
          <w:lang w:eastAsia="ru-RU"/>
        </w:rPr>
        <w:t xml:space="preserve"> </w:t>
      </w:r>
    </w:p>
    <w:p w14:paraId="56581F0B">
      <w:pPr>
        <w:widowControl w:val="0"/>
        <w:autoSpaceDE w:val="0"/>
        <w:autoSpaceDN w:val="0"/>
        <w:spacing w:before="100" w:beforeAutospacing="1" w:after="100" w:afterAutospacing="1" w:line="276" w:lineRule="auto"/>
        <w:ind w:firstLine="709"/>
        <w:jc w:val="both"/>
        <w:outlineLvl w:val="0"/>
        <w:rPr>
          <w:rFonts w:ascii="Times New Roman" w:hAnsi="Times New Roman" w:eastAsia="Times New Roman" w:cs="Times New Roman"/>
          <w:b/>
          <w:bCs/>
          <w:kern w:val="36"/>
          <w:sz w:val="28"/>
          <w:szCs w:val="28"/>
          <w:lang w:eastAsia="ru-RU"/>
        </w:rPr>
      </w:pPr>
      <w:r>
        <w:rPr>
          <w:rFonts w:ascii="Times New Roman" w:hAnsi="Times New Roman" w:eastAsia="Times New Roman" w:cs="Times New Roman"/>
          <w:b/>
          <w:bCs/>
          <w:kern w:val="36"/>
          <w:sz w:val="28"/>
          <w:szCs w:val="28"/>
          <w:lang w:eastAsia="ru-RU"/>
        </w:rPr>
        <w:t xml:space="preserve"> </w:t>
      </w:r>
    </w:p>
    <w:p w14:paraId="0DABCE27">
      <w:pPr>
        <w:widowControl w:val="0"/>
        <w:autoSpaceDE w:val="0"/>
        <w:autoSpaceDN w:val="0"/>
        <w:spacing w:before="100" w:beforeAutospacing="1" w:after="100" w:afterAutospacing="1" w:line="276" w:lineRule="auto"/>
        <w:ind w:firstLine="709"/>
        <w:jc w:val="both"/>
        <w:outlineLvl w:val="0"/>
        <w:rPr>
          <w:rFonts w:ascii="Times New Roman" w:hAnsi="Times New Roman" w:eastAsia="Times New Roman" w:cs="Times New Roman"/>
          <w:b/>
          <w:bCs/>
          <w:kern w:val="36"/>
          <w:sz w:val="28"/>
          <w:szCs w:val="28"/>
          <w:lang w:eastAsia="ru-RU"/>
        </w:rPr>
      </w:pPr>
      <w:r>
        <w:rPr>
          <w:rFonts w:ascii="Times New Roman" w:hAnsi="Times New Roman" w:eastAsia="Times New Roman" w:cs="Times New Roman"/>
          <w:b/>
          <w:bCs/>
          <w:kern w:val="36"/>
          <w:sz w:val="28"/>
          <w:szCs w:val="28"/>
          <w:lang w:eastAsia="ru-RU"/>
        </w:rPr>
        <w:t xml:space="preserve"> </w:t>
      </w:r>
    </w:p>
    <w:p w14:paraId="131069E4">
      <w:pPr>
        <w:widowControl w:val="0"/>
        <w:autoSpaceDE w:val="0"/>
        <w:autoSpaceDN w:val="0"/>
        <w:spacing w:before="100" w:beforeAutospacing="1" w:after="100" w:afterAutospacing="1" w:line="276" w:lineRule="auto"/>
        <w:ind w:firstLine="709"/>
        <w:jc w:val="both"/>
        <w:outlineLvl w:val="0"/>
        <w:rPr>
          <w:rFonts w:ascii="Times New Roman" w:hAnsi="Times New Roman" w:eastAsia="Times New Roman" w:cs="Times New Roman"/>
          <w:b/>
          <w:bCs/>
          <w:kern w:val="36"/>
          <w:sz w:val="28"/>
          <w:szCs w:val="28"/>
          <w:lang w:eastAsia="ru-RU"/>
        </w:rPr>
      </w:pPr>
    </w:p>
    <w:p w14:paraId="77BAFA62">
      <w:pPr>
        <w:widowControl w:val="0"/>
        <w:autoSpaceDE w:val="0"/>
        <w:autoSpaceDN w:val="0"/>
        <w:spacing w:before="100" w:beforeAutospacing="1" w:after="100" w:afterAutospacing="1" w:line="276" w:lineRule="auto"/>
        <w:ind w:firstLine="709"/>
        <w:jc w:val="both"/>
        <w:outlineLvl w:val="0"/>
        <w:rPr>
          <w:rFonts w:ascii="Times New Roman" w:hAnsi="Times New Roman" w:eastAsia="Times New Roman" w:cs="Times New Roman"/>
          <w:b/>
          <w:bCs/>
          <w:kern w:val="36"/>
          <w:sz w:val="28"/>
          <w:szCs w:val="28"/>
          <w:lang w:eastAsia="ru-RU"/>
        </w:rPr>
      </w:pPr>
    </w:p>
    <w:p w14:paraId="5B248865">
      <w:pPr>
        <w:widowControl w:val="0"/>
        <w:autoSpaceDE w:val="0"/>
        <w:autoSpaceDN w:val="0"/>
        <w:spacing w:before="100" w:beforeAutospacing="1" w:after="100" w:afterAutospacing="1" w:line="276" w:lineRule="auto"/>
        <w:ind w:firstLine="709"/>
        <w:jc w:val="both"/>
        <w:outlineLvl w:val="0"/>
        <w:rPr>
          <w:rFonts w:ascii="Times New Roman" w:hAnsi="Times New Roman" w:eastAsia="Times New Roman" w:cs="Times New Roman"/>
          <w:b/>
          <w:bCs/>
          <w:kern w:val="36"/>
          <w:sz w:val="28"/>
          <w:szCs w:val="28"/>
          <w:lang w:eastAsia="ru-RU"/>
        </w:rPr>
      </w:pPr>
    </w:p>
    <w:p w14:paraId="23918234">
      <w:pPr>
        <w:widowControl w:val="0"/>
        <w:autoSpaceDE w:val="0"/>
        <w:autoSpaceDN w:val="0"/>
        <w:spacing w:before="100" w:beforeAutospacing="1" w:after="100" w:afterAutospacing="1" w:line="276" w:lineRule="auto"/>
        <w:ind w:firstLine="709"/>
        <w:jc w:val="both"/>
        <w:outlineLvl w:val="0"/>
        <w:rPr>
          <w:rFonts w:ascii="Times New Roman" w:hAnsi="Times New Roman" w:eastAsia="Times New Roman" w:cs="Times New Roman"/>
          <w:b/>
          <w:bCs/>
          <w:kern w:val="36"/>
          <w:sz w:val="28"/>
          <w:szCs w:val="28"/>
          <w:lang w:eastAsia="ru-RU"/>
        </w:rPr>
      </w:pPr>
      <w:r>
        <w:rPr>
          <w:rFonts w:ascii="Times New Roman" w:hAnsi="Times New Roman" w:eastAsia="Times New Roman" w:cs="Times New Roman"/>
          <w:b/>
          <w:bCs/>
          <w:kern w:val="36"/>
          <w:sz w:val="28"/>
          <w:szCs w:val="28"/>
          <w:lang w:eastAsia="ru-RU"/>
        </w:rPr>
        <w:t xml:space="preserve"> </w:t>
      </w:r>
    </w:p>
    <w:p w14:paraId="203CD3DE">
      <w:pPr>
        <w:widowControl w:val="0"/>
        <w:autoSpaceDE w:val="0"/>
        <w:autoSpaceDN w:val="0"/>
        <w:spacing w:before="100" w:beforeAutospacing="1" w:after="100" w:afterAutospacing="1" w:line="276" w:lineRule="auto"/>
        <w:ind w:firstLine="709"/>
        <w:jc w:val="both"/>
        <w:outlineLvl w:val="0"/>
        <w:rPr>
          <w:rFonts w:ascii="Times New Roman" w:hAnsi="Times New Roman" w:eastAsia="Times New Roman" w:cs="Times New Roman"/>
          <w:b/>
          <w:bCs/>
          <w:kern w:val="36"/>
          <w:sz w:val="28"/>
          <w:szCs w:val="28"/>
          <w:lang w:eastAsia="ru-RU"/>
        </w:rPr>
      </w:pPr>
      <w:r>
        <w:rPr>
          <w:rFonts w:ascii="Times New Roman" w:hAnsi="Times New Roman" w:eastAsia="Times New Roman" w:cs="Times New Roman"/>
          <w:b/>
          <w:bCs/>
          <w:kern w:val="36"/>
          <w:sz w:val="28"/>
          <w:szCs w:val="28"/>
          <w:lang w:eastAsia="ru-RU"/>
        </w:rPr>
        <w:t xml:space="preserve"> </w:t>
      </w:r>
    </w:p>
    <w:p w14:paraId="5898B05B">
      <w:pPr>
        <w:widowControl w:val="0"/>
        <w:autoSpaceDE w:val="0"/>
        <w:autoSpaceDN w:val="0"/>
        <w:spacing w:after="0" w:line="276" w:lineRule="auto"/>
        <w:ind w:firstLine="709"/>
        <w:jc w:val="both"/>
        <w:outlineLvl w:val="0"/>
        <w:rPr>
          <w:rFonts w:ascii="Times New Roman" w:hAnsi="Times New Roman" w:eastAsia="Times New Roman" w:cs="Times New Roman"/>
          <w:b/>
          <w:bCs/>
          <w:kern w:val="36"/>
          <w:sz w:val="28"/>
          <w:szCs w:val="28"/>
          <w:lang w:eastAsia="ru-RU"/>
        </w:rPr>
      </w:pPr>
      <w:r>
        <w:rPr>
          <w:rFonts w:ascii="Times New Roman" w:hAnsi="Times New Roman" w:eastAsia="Times New Roman" w:cs="Times New Roman"/>
          <w:b/>
          <w:bCs/>
          <w:kern w:val="36"/>
          <w:sz w:val="28"/>
          <w:szCs w:val="28"/>
          <w:lang w:eastAsia="ru-RU"/>
        </w:rPr>
        <w:t>ҚЫСҚАРТУЛАР ТІЗІМІ ЖӘНЕ ОЛАРДЫҢ ШАРТТЫ БЕЛГІЛЕРІ</w:t>
      </w:r>
    </w:p>
    <w:p w14:paraId="74B2828D">
      <w:pPr>
        <w:widowControl w:val="0"/>
        <w:autoSpaceDE w:val="0"/>
        <w:autoSpaceDN w:val="0"/>
        <w:spacing w:after="0" w:line="276" w:lineRule="auto"/>
        <w:ind w:firstLine="709"/>
        <w:jc w:val="both"/>
        <w:outlineLvl w:val="0"/>
        <w:rPr>
          <w:rFonts w:ascii="Times New Roman" w:hAnsi="Times New Roman" w:eastAsia="Times New Roman" w:cs="Times New Roman"/>
          <w:b/>
          <w:bCs/>
          <w:kern w:val="36"/>
          <w:sz w:val="28"/>
          <w:szCs w:val="28"/>
          <w:lang w:eastAsia="ru-RU"/>
        </w:rPr>
      </w:pPr>
    </w:p>
    <w:p w14:paraId="7F473FD9">
      <w:pPr>
        <w:widowControl w:val="0"/>
        <w:autoSpaceDE w:val="0"/>
        <w:autoSpaceDN w:val="0"/>
        <w:spacing w:after="0" w:line="276" w:lineRule="auto"/>
        <w:ind w:firstLine="709"/>
        <w:jc w:val="both"/>
        <w:outlineLvl w:val="0"/>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 xml:space="preserve">ДСИ – дене салмағының индексі </w:t>
      </w:r>
    </w:p>
    <w:p w14:paraId="6B6965EF">
      <w:pPr>
        <w:widowControl w:val="0"/>
        <w:autoSpaceDE w:val="0"/>
        <w:autoSpaceDN w:val="0"/>
        <w:spacing w:after="0" w:line="276" w:lineRule="auto"/>
        <w:ind w:firstLine="709"/>
        <w:jc w:val="both"/>
        <w:outlineLvl w:val="0"/>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ТТ – теміртапшылығы</w:t>
      </w:r>
    </w:p>
    <w:p w14:paraId="457876A3">
      <w:pPr>
        <w:widowControl w:val="0"/>
        <w:autoSpaceDE w:val="0"/>
        <w:autoSpaceDN w:val="0"/>
        <w:spacing w:after="0" w:line="276" w:lineRule="auto"/>
        <w:ind w:firstLine="709"/>
        <w:jc w:val="both"/>
        <w:outlineLvl w:val="0"/>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ТТА – темір тапшылықты анемия</w:t>
      </w:r>
    </w:p>
    <w:p w14:paraId="396C2BF3">
      <w:pPr>
        <w:widowControl w:val="0"/>
        <w:autoSpaceDE w:val="0"/>
        <w:autoSpaceDN w:val="0"/>
        <w:spacing w:after="0" w:line="276" w:lineRule="auto"/>
        <w:ind w:firstLine="709"/>
        <w:jc w:val="both"/>
        <w:outlineLvl w:val="0"/>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САҚ – систолалық артериялық қан қысымы</w:t>
      </w:r>
    </w:p>
    <w:p w14:paraId="05DECFDD">
      <w:pPr>
        <w:widowControl w:val="0"/>
        <w:autoSpaceDE w:val="0"/>
        <w:autoSpaceDN w:val="0"/>
        <w:spacing w:after="0" w:line="276" w:lineRule="auto"/>
        <w:ind w:firstLine="709"/>
        <w:jc w:val="both"/>
        <w:outlineLvl w:val="0"/>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ДАҚ – диастолалық артериялық қан қысымы</w:t>
      </w:r>
    </w:p>
    <w:p w14:paraId="4FD908CE">
      <w:pPr>
        <w:widowControl w:val="0"/>
        <w:autoSpaceDE w:val="0"/>
        <w:autoSpaceDN w:val="0"/>
        <w:spacing w:after="0" w:line="276" w:lineRule="auto"/>
        <w:ind w:firstLine="709"/>
        <w:jc w:val="both"/>
        <w:outlineLvl w:val="0"/>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ПТИ – протромбинді индексі</w:t>
      </w:r>
    </w:p>
    <w:p w14:paraId="5433B787">
      <w:pPr>
        <w:widowControl w:val="0"/>
        <w:autoSpaceDE w:val="0"/>
        <w:autoSpaceDN w:val="0"/>
        <w:spacing w:after="0" w:line="276" w:lineRule="auto"/>
        <w:ind w:firstLine="709"/>
        <w:jc w:val="both"/>
        <w:outlineLvl w:val="0"/>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ҚД – қан диабеті</w:t>
      </w:r>
    </w:p>
    <w:p w14:paraId="5F149713">
      <w:pPr>
        <w:widowControl w:val="0"/>
        <w:autoSpaceDE w:val="0"/>
        <w:autoSpaceDN w:val="0"/>
        <w:spacing w:after="0" w:line="276" w:lineRule="auto"/>
        <w:ind w:firstLine="709"/>
        <w:jc w:val="both"/>
        <w:outlineLvl w:val="0"/>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ДДСҰ – Дүниежүзілік денсаулық сақтау ұйымы</w:t>
      </w:r>
    </w:p>
    <w:p w14:paraId="33F4965C">
      <w:pPr>
        <w:widowControl w:val="0"/>
        <w:autoSpaceDE w:val="0"/>
        <w:autoSpaceDN w:val="0"/>
        <w:spacing w:after="0" w:line="276" w:lineRule="auto"/>
        <w:ind w:firstLine="709"/>
        <w:jc w:val="both"/>
        <w:outlineLvl w:val="0"/>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СDC – ауруларды бақылау және алдын алу орталықтары</w:t>
      </w:r>
    </w:p>
    <w:p w14:paraId="493914D3">
      <w:pPr>
        <w:widowControl w:val="0"/>
        <w:autoSpaceDE w:val="0"/>
        <w:autoSpaceDN w:val="0"/>
        <w:spacing w:after="0" w:line="276" w:lineRule="auto"/>
        <w:ind w:firstLine="709"/>
        <w:jc w:val="both"/>
        <w:outlineLvl w:val="0"/>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АCOG – Америкалық акушер–гинекологтар қолледжі</w:t>
      </w:r>
    </w:p>
    <w:p w14:paraId="2DE0AE7B">
      <w:pPr>
        <w:widowControl w:val="0"/>
        <w:autoSpaceDE w:val="0"/>
        <w:autoSpaceDN w:val="0"/>
        <w:spacing w:after="0" w:line="276" w:lineRule="auto"/>
        <w:ind w:firstLine="709"/>
        <w:jc w:val="both"/>
        <w:outlineLvl w:val="0"/>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СРА – С–реактивті ақуыз</w:t>
      </w:r>
    </w:p>
    <w:p w14:paraId="1F9277A2">
      <w:pPr>
        <w:widowControl w:val="0"/>
        <w:autoSpaceDE w:val="0"/>
        <w:autoSpaceDN w:val="0"/>
        <w:spacing w:after="0" w:line="276" w:lineRule="auto"/>
        <w:ind w:firstLine="709"/>
        <w:jc w:val="both"/>
        <w:outlineLvl w:val="0"/>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ИЛ–6 – интерлекин–6</w:t>
      </w:r>
    </w:p>
    <w:p w14:paraId="51043840">
      <w:pPr>
        <w:widowControl w:val="0"/>
        <w:autoSpaceDE w:val="0"/>
        <w:autoSpaceDN w:val="0"/>
        <w:spacing w:after="0" w:line="276" w:lineRule="auto"/>
        <w:ind w:firstLine="709"/>
        <w:jc w:val="both"/>
        <w:outlineLvl w:val="0"/>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ERFE – эритроферрон</w:t>
      </w:r>
    </w:p>
    <w:p w14:paraId="29EEC425">
      <w:pPr>
        <w:widowControl w:val="0"/>
        <w:autoSpaceDE w:val="0"/>
        <w:autoSpaceDN w:val="0"/>
        <w:spacing w:after="0" w:line="276" w:lineRule="auto"/>
        <w:ind w:firstLine="709"/>
        <w:jc w:val="both"/>
        <w:outlineLvl w:val="0"/>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sTfr – трансферриндік рецептор</w:t>
      </w:r>
    </w:p>
    <w:p w14:paraId="47E79190">
      <w:pPr>
        <w:widowControl w:val="0"/>
        <w:autoSpaceDE w:val="0"/>
        <w:autoSpaceDN w:val="0"/>
        <w:spacing w:after="0" w:line="276" w:lineRule="auto"/>
        <w:ind w:firstLine="709"/>
        <w:jc w:val="both"/>
        <w:outlineLvl w:val="0"/>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Нb – гемоглобин</w:t>
      </w:r>
    </w:p>
    <w:p w14:paraId="19C81E27">
      <w:pPr>
        <w:widowControl w:val="0"/>
        <w:autoSpaceDE w:val="0"/>
        <w:autoSpaceDN w:val="0"/>
        <w:spacing w:after="0" w:line="276" w:lineRule="auto"/>
        <w:ind w:firstLine="709"/>
        <w:jc w:val="both"/>
        <w:outlineLvl w:val="0"/>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ЭПО – эритропоэтин</w:t>
      </w:r>
    </w:p>
    <w:p w14:paraId="2D3973AB">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ИФА - иммуноферменттік анализ (талдау)</w:t>
      </w:r>
    </w:p>
    <w:p w14:paraId="10173520">
      <w:pPr>
        <w:widowControl w:val="0"/>
        <w:autoSpaceDE w:val="0"/>
        <w:autoSpaceDN w:val="0"/>
        <w:spacing w:after="0" w:line="276" w:lineRule="auto"/>
        <w:ind w:firstLine="709"/>
        <w:jc w:val="both"/>
        <w:outlineLvl w:val="0"/>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АГП – альфа–1 қышқылды гликопротеид</w:t>
      </w:r>
    </w:p>
    <w:p w14:paraId="655DC378">
      <w:pPr>
        <w:widowControl w:val="0"/>
        <w:autoSpaceDE w:val="0"/>
        <w:autoSpaceDN w:val="0"/>
        <w:spacing w:after="0" w:line="276" w:lineRule="auto"/>
        <w:ind w:firstLine="709"/>
        <w:jc w:val="both"/>
        <w:outlineLvl w:val="0"/>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NLR – нейтрофильдер мен лимфоциттердің арақатынасы</w:t>
      </w:r>
    </w:p>
    <w:p w14:paraId="5920D14C">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БЖТУ </w:t>
      </w:r>
      <w:r>
        <w:rPr>
          <w:rFonts w:ascii="Times New Roman" w:hAnsi="Times New Roman" w:eastAsia="Times New Roman" w:cs="Times New Roman"/>
          <w:bCs/>
          <w:sz w:val="28"/>
          <w:szCs w:val="28"/>
          <w:lang w:eastAsia="ru-RU"/>
        </w:rPr>
        <w:t xml:space="preserve"> –</w:t>
      </w:r>
      <w:r>
        <w:rPr>
          <w:rFonts w:ascii="Times New Roman" w:hAnsi="Times New Roman" w:eastAsia="Times New Roman" w:cs="Times New Roman"/>
          <w:sz w:val="28"/>
          <w:szCs w:val="28"/>
          <w:lang w:eastAsia="ru-RU"/>
        </w:rPr>
        <w:t xml:space="preserve"> белсендірілген жартылай тромбопластиндік уақыт </w:t>
      </w:r>
    </w:p>
    <w:p w14:paraId="5B0A305E">
      <w:pPr>
        <w:widowControl w:val="0"/>
        <w:autoSpaceDE w:val="0"/>
        <w:autoSpaceDN w:val="0"/>
        <w:spacing w:after="0" w:line="276" w:lineRule="auto"/>
        <w:ind w:firstLine="709"/>
        <w:jc w:val="both"/>
        <w:outlineLvl w:val="0"/>
        <w:rPr>
          <w:rFonts w:ascii="Times New Roman" w:hAnsi="Times New Roman" w:eastAsia="Times New Roman" w:cs="Times New Roman"/>
          <w:bCs/>
          <w:sz w:val="28"/>
          <w:szCs w:val="28"/>
          <w:lang w:eastAsia="ru-RU"/>
        </w:rPr>
      </w:pPr>
      <w:r>
        <w:rPr>
          <w:rFonts w:ascii="Times New Roman" w:hAnsi="Times New Roman" w:eastAsia="Times New Roman" w:cs="Times New Roman"/>
          <w:sz w:val="28"/>
          <w:szCs w:val="28"/>
          <w:lang w:eastAsia="ru-RU"/>
        </w:rPr>
        <w:t xml:space="preserve">ХҚҚ </w:t>
      </w:r>
      <w:r>
        <w:rPr>
          <w:rFonts w:ascii="Times New Roman" w:hAnsi="Times New Roman" w:eastAsia="Times New Roman" w:cs="Times New Roman"/>
          <w:bCs/>
          <w:sz w:val="28"/>
          <w:szCs w:val="28"/>
          <w:lang w:eastAsia="ru-RU"/>
        </w:rPr>
        <w:t xml:space="preserve"> –</w:t>
      </w:r>
      <w:r>
        <w:rPr>
          <w:rFonts w:ascii="Times New Roman" w:hAnsi="Times New Roman" w:eastAsia="Times New Roman" w:cs="Times New Roman"/>
          <w:sz w:val="28"/>
          <w:szCs w:val="28"/>
          <w:lang w:eastAsia="ru-RU"/>
        </w:rPr>
        <w:t xml:space="preserve"> х</w:t>
      </w:r>
      <w:r>
        <w:rPr>
          <w:rFonts w:ascii="Times New Roman" w:hAnsi="Times New Roman" w:eastAsia="Calibri" w:cs="Times New Roman"/>
          <w:sz w:val="28"/>
          <w:szCs w:val="28"/>
          <w:lang w:eastAsia="ru-RU"/>
        </w:rPr>
        <w:t>алықаралық қалыптасқан қатынас</w:t>
      </w:r>
      <w:r>
        <w:rPr>
          <w:rFonts w:ascii="Times New Roman" w:hAnsi="Times New Roman" w:eastAsia="Times New Roman" w:cs="Times New Roman"/>
          <w:sz w:val="28"/>
          <w:szCs w:val="28"/>
          <w:lang w:eastAsia="ru-RU"/>
        </w:rPr>
        <w:t xml:space="preserve"> </w:t>
      </w:r>
    </w:p>
    <w:p w14:paraId="30EE653C">
      <w:pPr>
        <w:widowControl w:val="0"/>
        <w:autoSpaceDE w:val="0"/>
        <w:autoSpaceDN w:val="0"/>
        <w:spacing w:after="0" w:line="276" w:lineRule="auto"/>
        <w:ind w:firstLine="709"/>
        <w:jc w:val="both"/>
        <w:outlineLvl w:val="0"/>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AUC – қисық астындағы аумақ</w:t>
      </w:r>
    </w:p>
    <w:p w14:paraId="44AE7587">
      <w:pPr>
        <w:widowControl w:val="0"/>
        <w:autoSpaceDE w:val="0"/>
        <w:autoSpaceDN w:val="0"/>
        <w:spacing w:before="100" w:beforeAutospacing="1" w:after="100" w:afterAutospacing="1" w:line="276" w:lineRule="auto"/>
        <w:ind w:firstLine="709"/>
        <w:jc w:val="both"/>
        <w:outlineLvl w:val="0"/>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 xml:space="preserve"> </w:t>
      </w:r>
    </w:p>
    <w:p w14:paraId="73DFA7DD">
      <w:pPr>
        <w:widowControl w:val="0"/>
        <w:autoSpaceDE w:val="0"/>
        <w:autoSpaceDN w:val="0"/>
        <w:spacing w:before="100" w:beforeAutospacing="1" w:after="100" w:afterAutospacing="1" w:line="276" w:lineRule="auto"/>
        <w:ind w:firstLine="709"/>
        <w:jc w:val="both"/>
        <w:outlineLvl w:val="0"/>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eastAsia="ru-RU"/>
        </w:rPr>
        <w:t xml:space="preserve"> </w:t>
      </w:r>
    </w:p>
    <w:p w14:paraId="6637B1BC">
      <w:pPr>
        <w:widowControl w:val="0"/>
        <w:autoSpaceDE w:val="0"/>
        <w:autoSpaceDN w:val="0"/>
        <w:spacing w:before="100" w:beforeAutospacing="1" w:after="100" w:afterAutospacing="1" w:line="276" w:lineRule="auto"/>
        <w:ind w:firstLine="709"/>
        <w:jc w:val="both"/>
        <w:outlineLvl w:val="0"/>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eastAsia="ru-RU"/>
        </w:rPr>
        <w:t xml:space="preserve"> </w:t>
      </w:r>
    </w:p>
    <w:p w14:paraId="01AA5B3B">
      <w:pPr>
        <w:widowControl w:val="0"/>
        <w:autoSpaceDE w:val="0"/>
        <w:autoSpaceDN w:val="0"/>
        <w:spacing w:before="100" w:beforeAutospacing="1" w:after="100" w:afterAutospacing="1" w:line="276" w:lineRule="auto"/>
        <w:ind w:firstLine="709"/>
        <w:jc w:val="both"/>
        <w:outlineLvl w:val="0"/>
        <w:rPr>
          <w:rFonts w:ascii="Times New Roman" w:hAnsi="Times New Roman" w:eastAsia="Times New Roman" w:cs="Times New Roman"/>
          <w:b/>
          <w:bCs/>
          <w:kern w:val="36"/>
          <w:sz w:val="28"/>
          <w:szCs w:val="28"/>
          <w:lang w:eastAsia="ru-RU"/>
        </w:rPr>
      </w:pPr>
      <w:r>
        <w:rPr>
          <w:rFonts w:ascii="Times New Roman" w:hAnsi="Times New Roman" w:eastAsia="Times New Roman" w:cs="Times New Roman"/>
          <w:b/>
          <w:bCs/>
          <w:kern w:val="36"/>
          <w:sz w:val="28"/>
          <w:szCs w:val="28"/>
          <w:lang w:eastAsia="ru-RU"/>
        </w:rPr>
        <w:t xml:space="preserve"> </w:t>
      </w:r>
    </w:p>
    <w:p w14:paraId="7F7AA96A">
      <w:pPr>
        <w:widowControl w:val="0"/>
        <w:autoSpaceDE w:val="0"/>
        <w:autoSpaceDN w:val="0"/>
        <w:spacing w:before="100" w:beforeAutospacing="1" w:after="100" w:afterAutospacing="1" w:line="276" w:lineRule="auto"/>
        <w:ind w:firstLine="709"/>
        <w:jc w:val="both"/>
        <w:outlineLvl w:val="0"/>
        <w:rPr>
          <w:rFonts w:ascii="Times New Roman" w:hAnsi="Times New Roman" w:eastAsia="Times New Roman" w:cs="Times New Roman"/>
          <w:b/>
          <w:bCs/>
          <w:kern w:val="36"/>
          <w:sz w:val="28"/>
          <w:szCs w:val="28"/>
          <w:lang w:eastAsia="ru-RU"/>
        </w:rPr>
      </w:pPr>
      <w:r>
        <w:rPr>
          <w:rFonts w:ascii="Times New Roman" w:hAnsi="Times New Roman" w:eastAsia="Times New Roman" w:cs="Times New Roman"/>
          <w:b/>
          <w:bCs/>
          <w:kern w:val="36"/>
          <w:sz w:val="28"/>
          <w:szCs w:val="28"/>
          <w:lang w:eastAsia="ru-RU"/>
        </w:rPr>
        <w:t xml:space="preserve"> </w:t>
      </w:r>
    </w:p>
    <w:p w14:paraId="1FC2568D">
      <w:pPr>
        <w:widowControl w:val="0"/>
        <w:autoSpaceDE w:val="0"/>
        <w:autoSpaceDN w:val="0"/>
        <w:spacing w:before="100" w:beforeAutospacing="1" w:after="100" w:afterAutospacing="1" w:line="276" w:lineRule="auto"/>
        <w:ind w:firstLine="709"/>
        <w:jc w:val="both"/>
        <w:outlineLvl w:val="0"/>
        <w:rPr>
          <w:rFonts w:ascii="Times New Roman" w:hAnsi="Times New Roman" w:eastAsia="Times New Roman" w:cs="Times New Roman"/>
          <w:b/>
          <w:bCs/>
          <w:kern w:val="36"/>
          <w:sz w:val="28"/>
          <w:szCs w:val="28"/>
          <w:lang w:eastAsia="ru-RU"/>
        </w:rPr>
      </w:pPr>
      <w:r>
        <w:rPr>
          <w:rFonts w:ascii="Times New Roman" w:hAnsi="Times New Roman" w:eastAsia="Times New Roman" w:cs="Times New Roman"/>
          <w:b/>
          <w:bCs/>
          <w:kern w:val="36"/>
          <w:sz w:val="28"/>
          <w:szCs w:val="28"/>
          <w:lang w:eastAsia="ru-RU"/>
        </w:rPr>
        <w:t xml:space="preserve"> </w:t>
      </w:r>
    </w:p>
    <w:p w14:paraId="7D7F14CB">
      <w:pPr>
        <w:widowControl w:val="0"/>
        <w:autoSpaceDE w:val="0"/>
        <w:autoSpaceDN w:val="0"/>
        <w:spacing w:before="100" w:beforeAutospacing="1" w:after="100" w:afterAutospacing="1" w:line="276" w:lineRule="auto"/>
        <w:ind w:firstLine="709"/>
        <w:jc w:val="both"/>
        <w:outlineLvl w:val="0"/>
        <w:rPr>
          <w:rFonts w:ascii="Times New Roman" w:hAnsi="Times New Roman" w:eastAsia="Times New Roman" w:cs="Times New Roman"/>
          <w:b/>
          <w:bCs/>
          <w:kern w:val="36"/>
          <w:sz w:val="28"/>
          <w:szCs w:val="28"/>
          <w:lang w:eastAsia="ru-RU"/>
        </w:rPr>
      </w:pPr>
      <w:r>
        <w:rPr>
          <w:rFonts w:ascii="Times New Roman" w:hAnsi="Times New Roman" w:eastAsia="Times New Roman" w:cs="Times New Roman"/>
          <w:b/>
          <w:bCs/>
          <w:kern w:val="36"/>
          <w:sz w:val="28"/>
          <w:szCs w:val="28"/>
          <w:lang w:eastAsia="ru-RU"/>
        </w:rPr>
        <w:t xml:space="preserve"> </w:t>
      </w:r>
    </w:p>
    <w:p w14:paraId="0F4DAB15">
      <w:pPr>
        <w:widowControl w:val="0"/>
        <w:autoSpaceDE w:val="0"/>
        <w:autoSpaceDN w:val="0"/>
        <w:spacing w:before="100" w:beforeAutospacing="1" w:after="100" w:afterAutospacing="1" w:line="276" w:lineRule="auto"/>
        <w:ind w:firstLine="709"/>
        <w:jc w:val="both"/>
        <w:outlineLvl w:val="0"/>
        <w:rPr>
          <w:rFonts w:ascii="Times New Roman" w:hAnsi="Times New Roman" w:eastAsia="Times New Roman" w:cs="Times New Roman"/>
          <w:b/>
          <w:bCs/>
          <w:kern w:val="36"/>
          <w:sz w:val="28"/>
          <w:szCs w:val="28"/>
          <w:lang w:eastAsia="ru-RU"/>
        </w:rPr>
      </w:pPr>
    </w:p>
    <w:p w14:paraId="31A8F782">
      <w:pPr>
        <w:widowControl w:val="0"/>
        <w:autoSpaceDE w:val="0"/>
        <w:autoSpaceDN w:val="0"/>
        <w:spacing w:before="100" w:beforeAutospacing="1" w:after="100" w:afterAutospacing="1" w:line="276" w:lineRule="auto"/>
        <w:ind w:firstLine="709"/>
        <w:jc w:val="both"/>
        <w:outlineLvl w:val="0"/>
        <w:rPr>
          <w:rFonts w:ascii="Times New Roman" w:hAnsi="Times New Roman" w:eastAsia="Times New Roman" w:cs="Times New Roman"/>
          <w:b/>
          <w:bCs/>
          <w:kern w:val="36"/>
          <w:sz w:val="28"/>
          <w:szCs w:val="28"/>
          <w:lang w:eastAsia="ru-RU"/>
        </w:rPr>
      </w:pPr>
      <w:r>
        <w:rPr>
          <w:rFonts w:ascii="Times New Roman" w:hAnsi="Times New Roman" w:eastAsia="Times New Roman" w:cs="Times New Roman"/>
          <w:b/>
          <w:bCs/>
          <w:kern w:val="36"/>
          <w:sz w:val="28"/>
          <w:szCs w:val="28"/>
          <w:lang w:eastAsia="ru-RU"/>
        </w:rPr>
        <w:t xml:space="preserve">                        КІРІСПЕ</w:t>
      </w:r>
    </w:p>
    <w:p w14:paraId="3A2BF684">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b/>
          <w:sz w:val="28"/>
          <w:szCs w:val="28"/>
          <w:lang w:eastAsia="ru-RU"/>
        </w:rPr>
        <w:t xml:space="preserve">Тақырыптың өзектілігі:  </w:t>
      </w:r>
      <w:r>
        <w:rPr>
          <w:rFonts w:ascii="Times New Roman" w:hAnsi="Times New Roman" w:eastAsia="Times New Roman" w:cs="Times New Roman"/>
          <w:sz w:val="28"/>
          <w:szCs w:val="28"/>
          <w:lang w:eastAsia="ru-RU"/>
        </w:rPr>
        <w:t>Анемия – бұл ағзаның физиологиялық қажеттіліктерін қамтамасыз эту үшін жеткілікті мөлшерде оттегіні тасымалдау мүмкіндігінің төмендеуіне әкелетін, эритроциттер санының азаюы немесе олардың қызметінің бұзылуы [1]. Анемияның ең жиі кездесетін себебі – гемоглобиннің негізгі компоненті болып табылатын темірдің жеткіліксіздігі [2]. Дүниежүзілік денсаулық сақтау ұйымының (ДДCҰ) 2011 жылғы мәліметі бойынша, әлемде 32 миллион жүкті әйел немесе 40%-ы анемиядан зардап шегеді. Анемия перинаталдық қауіптердің артуына және ана мен жаңа туған нәресте үшін асқынулардың көбеюіне ықпал етеді [3]. Жүктілік кезіндегі анемия физикалық қабілеттіліктің төмендеуі, инфекцияларға бейімділік, депрессияға бейімділік, қағанақ қабының мерзімінен бұрын жарылуы, жатырішілік ұрықтың өсуінің тежелуі, ұрық гипоксиясы, мерзімінен бұрын босану, нәрестенің төмен салмақпен дүниеге келуі, антенатальды өлім және босанғаннан кейінгі кезеңде балаға күтім жасаудағы қиындықтар сияқты асқынуларға әкелуі мүмкін [4, 5].</w:t>
      </w:r>
    </w:p>
    <w:p w14:paraId="439CF9F3">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Ауруларды бақылау және алдын алу орталықтары (CDC) және Америкадағы акушер–гинекологтар колледжі (ACOG) барлық жүкті әйелдерге гематологиялық көрсеткіштерін жақсарту үшін жүктіліктің басынан бастап анемияның алдын алу мақсатында төмен дозадағы (27 мг) темір дәрмегін қабылдауды ұсынады [6].</w:t>
      </w:r>
    </w:p>
    <w:p w14:paraId="782DAA81">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val="kk-KZ" w:eastAsia="ru-RU"/>
        </w:rPr>
      </w:pPr>
      <w:r>
        <w:rPr>
          <w:rFonts w:ascii="Times New Roman" w:hAnsi="Times New Roman" w:eastAsia="Times New Roman" w:cs="Times New Roman"/>
          <w:sz w:val="28"/>
          <w:szCs w:val="28"/>
          <w:lang w:eastAsia="ru-RU"/>
        </w:rPr>
        <w:t xml:space="preserve">Дамушы елдерде дене салмағы төмен босанулардың 12%, шала туылғандардың 19% және перинаталдық өлімнің 18% – жүктілік кезіндегі анемиямен байланысты. Жүкті әйелдерде темір тапшылығының (ТТ) және темір тапшылық анемиясының (ТТА) қауіп факторларының бірі – жүктілікке дейінгі тамақтану рационы болып табылады. Жүктілікке дейінгі </w:t>
      </w:r>
      <w:r>
        <w:rPr>
          <w:rFonts w:ascii="Times New Roman" w:hAnsi="Times New Roman" w:eastAsia="Times New Roman" w:cs="Times New Roman"/>
          <w:sz w:val="28"/>
          <w:szCs w:val="28"/>
          <w:lang w:val="kk-KZ" w:eastAsia="ru-RU"/>
        </w:rPr>
        <w:t xml:space="preserve">ден салмағының индексі </w:t>
      </w:r>
      <w:r>
        <w:rPr>
          <w:rFonts w:ascii="Times New Roman" w:hAnsi="Times New Roman" w:eastAsia="Times New Roman" w:cs="Times New Roman"/>
          <w:sz w:val="28"/>
          <w:szCs w:val="28"/>
          <w:lang w:eastAsia="ru-RU"/>
        </w:rPr>
        <w:t>(ДСИ) ананың метаболикалық және тамақтану жағдайын сипаттайды. Егер жүктілікке дейін ДСИ қалыптыдан жоғары болса, олар жүктілік кезінде ТТ қаупіне ұшырауы мүмкін. Екінші жағынан, артық салмақ, әсіресе семіздік, гепсидин мен ферритиннің жоғарылауына әсер ететін жүйелі қабынумен байланысты [7].</w:t>
      </w:r>
      <w:r>
        <w:rPr>
          <w:rFonts w:ascii="Times New Roman" w:hAnsi="Times New Roman" w:eastAsia="Times New Roman" w:cs="Times New Roman"/>
          <w:sz w:val="28"/>
          <w:szCs w:val="28"/>
          <w:lang w:val="kk-KZ" w:eastAsia="ru-RU"/>
        </w:rPr>
        <w:t xml:space="preserve"> 1960 жылдардың басында адамдар арасында семіздік пен ТТА арасындағы байланыс туралы алғашқы зерттеулер жүргізілген болатын [8]. Кейін 2003 жылы артық салмағы бар және семіздігі бар балалар мен жасөспірімдерде ТТ-ның жоғары таралуы сипатталды [9]. Осыған ұқсас нәтижелер ересектер арасында да тіркелді. Lecube және басқалар (2006) семіздікке шалдыққан постменопаузадағы әйелдерде еритін трансферрин рецепторларының жоғары екенін анықтады [10].</w:t>
      </w:r>
    </w:p>
    <w:p w14:paraId="0AF2FECB">
      <w:pPr>
        <w:widowControl w:val="0"/>
        <w:autoSpaceDE w:val="0"/>
        <w:autoSpaceDN w:val="0"/>
        <w:spacing w:after="0" w:line="276" w:lineRule="auto"/>
        <w:ind w:firstLine="709"/>
        <w:jc w:val="both"/>
        <w:outlineLvl w:val="0"/>
        <w:rPr>
          <w:rFonts w:ascii="Times New Roman" w:hAnsi="Times New Roman" w:eastAsia="SimSun" w:cs="Times New Roman"/>
          <w:sz w:val="28"/>
          <w:szCs w:val="28"/>
          <w:lang w:val="kk-KZ"/>
        </w:rPr>
      </w:pPr>
      <w:r>
        <w:rPr>
          <w:rFonts w:ascii="Times New Roman" w:hAnsi="Times New Roman" w:eastAsia="SimSun" w:cs="Times New Roman"/>
          <w:sz w:val="28"/>
          <w:szCs w:val="28"/>
          <w:lang w:val="kk-KZ"/>
        </w:rPr>
        <w:t xml:space="preserve">Yanoff және басқалар (2007) зерттеуінде семіз ересектерде темір деңгейі төмен, ал еритін трансферрин рецепторлары жоғары екені анықталды, бұл ДСИ жоғары адамдарда ТТ жиілігінің артқанын растады [11]. Темірге қатысты зерттеулер көбіне ферритин, гемоглобин, гематокрит сияқты маркерлерге негізделсе, қабыну маркерлері мен гепсидин сирек қарастырылады [12]. Қабыну мен гепсидинді бағалау арқылы семіздік пен ТТ байланысын тереңірек түсіндіруге болады [13]. Zimmermann және басқалар (2008) бұл байланысты қабыну арқылы деп түсіндіреді. Tussing–Humphreys және әріптестері семіз әйелдерде гепсидиннің жоғарылағанын көрсетті [15], ал артық салмақ кезінде темір параметрлері жүкті емес және жүкті әйелдерде де төмендейді [16, 17, 18, 19]. Семіздік темір сіңірілуін емес, гипоферремияны туындатады [19]. </w:t>
      </w:r>
    </w:p>
    <w:p w14:paraId="272562D3">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val="kk-KZ" w:eastAsia="ru-RU"/>
        </w:rPr>
      </w:pPr>
      <w:r>
        <w:rPr>
          <w:rFonts w:ascii="Times New Roman" w:hAnsi="Times New Roman" w:eastAsia="Times New Roman" w:cs="Times New Roman"/>
          <w:sz w:val="28"/>
          <w:szCs w:val="28"/>
          <w:lang w:val="kk-KZ" w:eastAsia="ru-RU"/>
        </w:rPr>
        <w:t>Табысы төмен және орташа елдерде артық салмақ пен семіздіктің артуы халық денсаулығына елеулі қауіп төндіреді. Бұл әсіресе жүктілік кезінде өзекті, себебі ол нәрестелердің темір қорларына әсер етуі мүмкін. Жүктіліктегі темір метаболизміне әсер ететін факторларды қосымша зерттеу қажет. Бұл диссертациялық зерттеу жұмысында анемияның дамуы қаупіне гепсидин, ферритин, С–реактивті ақуыз (СРА), эритропоэтин (ЭПО) және интерлейкин–6 (ИЛ–6) маркерлерінің ассоциациясы зерттелді. Бұдан бөлек, бұл маркерлердің жүктілікке дейін семіздігі бар әйелдерде анемия даму қаупіне әсері сау тұлғалармен салыстырылып зерттелді.</w:t>
      </w:r>
    </w:p>
    <w:p w14:paraId="604D1184">
      <w:pPr>
        <w:widowControl w:val="0"/>
        <w:autoSpaceDE w:val="0"/>
        <w:autoSpaceDN w:val="0"/>
        <w:spacing w:after="0" w:line="276" w:lineRule="auto"/>
        <w:jc w:val="both"/>
        <w:outlineLvl w:val="0"/>
        <w:rPr>
          <w:rFonts w:ascii="Times New Roman" w:hAnsi="Times New Roman" w:eastAsia="Times New Roman" w:cs="Times New Roman"/>
          <w:sz w:val="28"/>
          <w:szCs w:val="28"/>
          <w:lang w:val="kk-KZ" w:eastAsia="ru-RU"/>
        </w:rPr>
      </w:pPr>
      <w:r>
        <w:rPr>
          <w:rFonts w:ascii="Times New Roman" w:hAnsi="Times New Roman" w:eastAsia="Times New Roman" w:cs="Times New Roman"/>
          <w:b/>
          <w:bCs/>
          <w:sz w:val="28"/>
          <w:szCs w:val="28"/>
          <w:lang w:val="kk-KZ" w:eastAsia="ru-RU"/>
        </w:rPr>
        <w:t>Зерттеудің мақсаты</w:t>
      </w:r>
      <w:r>
        <w:rPr>
          <w:rFonts w:ascii="Times New Roman" w:hAnsi="Times New Roman" w:eastAsia="Times New Roman" w:cs="Times New Roman"/>
          <w:b/>
          <w:sz w:val="28"/>
          <w:szCs w:val="28"/>
          <w:lang w:val="kk-KZ" w:eastAsia="ru-RU"/>
        </w:rPr>
        <w:t xml:space="preserve"> – </w:t>
      </w:r>
      <w:r>
        <w:rPr>
          <w:rFonts w:ascii="Times New Roman" w:hAnsi="Times New Roman" w:eastAsia="Times New Roman" w:cs="Times New Roman"/>
          <w:sz w:val="28"/>
          <w:szCs w:val="28"/>
          <w:lang w:val="kk-KZ" w:eastAsia="ru-RU"/>
        </w:rPr>
        <w:t>жүктілікке дейінгі семіздігі бар жүкті әйелдерде анемияның дамуында қабыну және темір метаболизмі маркерлерінің байланысын бағалау.</w:t>
      </w:r>
    </w:p>
    <w:p w14:paraId="07A5DF21">
      <w:pPr>
        <w:widowControl w:val="0"/>
        <w:autoSpaceDE w:val="0"/>
        <w:autoSpaceDN w:val="0"/>
        <w:spacing w:after="0" w:line="276" w:lineRule="auto"/>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b/>
          <w:bCs/>
          <w:sz w:val="28"/>
          <w:szCs w:val="28"/>
          <w:lang w:eastAsia="ru-RU"/>
        </w:rPr>
        <w:t>Зерттеудің міндеттері:</w:t>
      </w:r>
    </w:p>
    <w:p w14:paraId="016DB73B">
      <w:pPr>
        <w:pStyle w:val="23"/>
        <w:widowControl w:val="0"/>
        <w:numPr>
          <w:ilvl w:val="0"/>
          <w:numId w:val="1"/>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Жүкті әйелдерде темір метаболизмінің маркерлері (гепсидин, ферритин, </w:t>
      </w:r>
      <w:r>
        <w:rPr>
          <w:rFonts w:ascii="Times New Roman" w:hAnsi="Times New Roman" w:eastAsia="Times New Roman" w:cs="Times New Roman"/>
          <w:sz w:val="28"/>
          <w:szCs w:val="28"/>
          <w:lang w:val="kk-KZ" w:eastAsia="ru-RU"/>
        </w:rPr>
        <w:t>эритропоэтин</w:t>
      </w:r>
      <w:r>
        <w:rPr>
          <w:rFonts w:ascii="Times New Roman" w:hAnsi="Times New Roman" w:eastAsia="Times New Roman" w:cs="Times New Roman"/>
          <w:sz w:val="28"/>
          <w:szCs w:val="28"/>
          <w:lang w:eastAsia="ru-RU"/>
        </w:rPr>
        <w:t>) мен қабыну маркерлерінің (</w:t>
      </w:r>
      <w:r>
        <w:rPr>
          <w:rFonts w:ascii="Times New Roman" w:hAnsi="Times New Roman" w:eastAsia="Times New Roman" w:cs="Times New Roman"/>
          <w:sz w:val="28"/>
          <w:szCs w:val="28"/>
          <w:lang w:val="kk-KZ" w:eastAsia="ru-RU"/>
        </w:rPr>
        <w:t>интерлейкин</w:t>
      </w:r>
      <w:r>
        <w:rPr>
          <w:rFonts w:ascii="Times New Roman" w:hAnsi="Times New Roman" w:eastAsia="Times New Roman" w:cs="Times New Roman"/>
          <w:sz w:val="28"/>
          <w:szCs w:val="28"/>
          <w:lang w:eastAsia="ru-RU"/>
        </w:rPr>
        <w:t>-6, С</w:t>
      </w:r>
      <w:r>
        <w:rPr>
          <w:rFonts w:ascii="Times New Roman" w:hAnsi="Times New Roman" w:eastAsia="Times New Roman" w:cs="Times New Roman"/>
          <w:sz w:val="28"/>
          <w:szCs w:val="28"/>
          <w:lang w:val="kk-KZ" w:eastAsia="ru-RU"/>
        </w:rPr>
        <w:t>-реактивті ақуыз</w:t>
      </w:r>
      <w:r>
        <w:rPr>
          <w:rFonts w:ascii="Times New Roman" w:hAnsi="Times New Roman" w:eastAsia="Times New Roman" w:cs="Times New Roman"/>
          <w:sz w:val="28"/>
          <w:szCs w:val="28"/>
          <w:lang w:eastAsia="ru-RU"/>
        </w:rPr>
        <w:t>) деңгейлерін анықтап, сонымен қатар олардың анемия мен семіздік кезіндегі өзгеруін бағалау.</w:t>
      </w:r>
    </w:p>
    <w:p w14:paraId="691AF56C">
      <w:pPr>
        <w:pStyle w:val="23"/>
        <w:widowControl w:val="0"/>
        <w:numPr>
          <w:ilvl w:val="0"/>
          <w:numId w:val="1"/>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Жүкті әйелдердегі предгестациялық семіздік пен анемияның босану үдерісіне және нәрестенің денсаулығына әсерін зерттеу.</w:t>
      </w:r>
    </w:p>
    <w:p w14:paraId="4A4629C5">
      <w:pPr>
        <w:pStyle w:val="23"/>
        <w:widowControl w:val="0"/>
        <w:numPr>
          <w:ilvl w:val="0"/>
          <w:numId w:val="1"/>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Жүктілікке дейінгі семіздігі  мен анемиясы бар жүкті әйелдер арасындағы темір метаболизмінің маркерлері (гепсидин, ферритин, </w:t>
      </w:r>
      <w:r>
        <w:rPr>
          <w:rFonts w:ascii="Times New Roman" w:hAnsi="Times New Roman" w:eastAsia="Times New Roman" w:cs="Times New Roman"/>
          <w:sz w:val="28"/>
          <w:szCs w:val="28"/>
          <w:lang w:val="kk-KZ" w:eastAsia="ru-RU"/>
        </w:rPr>
        <w:t>эритропоэтин</w:t>
      </w:r>
      <w:r>
        <w:rPr>
          <w:rFonts w:ascii="Times New Roman" w:hAnsi="Times New Roman" w:eastAsia="Times New Roman" w:cs="Times New Roman"/>
          <w:sz w:val="28"/>
          <w:szCs w:val="28"/>
          <w:lang w:eastAsia="ru-RU"/>
        </w:rPr>
        <w:t>) және қабыну маркерлері (</w:t>
      </w:r>
      <w:r>
        <w:rPr>
          <w:rFonts w:ascii="Times New Roman" w:hAnsi="Times New Roman" w:eastAsia="Times New Roman" w:cs="Times New Roman"/>
          <w:sz w:val="28"/>
          <w:szCs w:val="28"/>
          <w:lang w:val="kk-KZ" w:eastAsia="ru-RU"/>
        </w:rPr>
        <w:t>интерлейкин</w:t>
      </w:r>
      <w:r>
        <w:rPr>
          <w:rFonts w:ascii="Times New Roman" w:hAnsi="Times New Roman" w:eastAsia="Times New Roman" w:cs="Times New Roman"/>
          <w:sz w:val="28"/>
          <w:szCs w:val="28"/>
          <w:lang w:eastAsia="ru-RU"/>
        </w:rPr>
        <w:t xml:space="preserve">-6, </w:t>
      </w:r>
      <w:r>
        <w:rPr>
          <w:rFonts w:ascii="Times New Roman" w:hAnsi="Times New Roman" w:eastAsia="Times New Roman" w:cs="Times New Roman"/>
          <w:sz w:val="28"/>
          <w:szCs w:val="28"/>
          <w:lang w:val="kk-KZ" w:eastAsia="ru-RU"/>
        </w:rPr>
        <w:t>С-реактивті ақуыз</w:t>
      </w:r>
      <w:r>
        <w:rPr>
          <w:rFonts w:ascii="Times New Roman" w:hAnsi="Times New Roman" w:eastAsia="Times New Roman" w:cs="Times New Roman"/>
          <w:sz w:val="28"/>
          <w:szCs w:val="28"/>
          <w:lang w:eastAsia="ru-RU"/>
        </w:rPr>
        <w:t>) арасындағы корреляциялық байланысқа талдау жүргізу.</w:t>
      </w:r>
    </w:p>
    <w:p w14:paraId="00BD4156">
      <w:pPr>
        <w:pStyle w:val="23"/>
        <w:widowControl w:val="0"/>
        <w:numPr>
          <w:ilvl w:val="0"/>
          <w:numId w:val="1"/>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Семіздігі бар жүкті әйелдерде анемияны ерте диагностикалау және оның алдын алу үшін темір метаболизмі мен қабыну маркерлеріне негізінделген прогностикалық модель әзірлеу. </w:t>
      </w:r>
    </w:p>
    <w:p w14:paraId="778040C1">
      <w:pPr>
        <w:pStyle w:val="23"/>
        <w:widowControl w:val="0"/>
        <w:numPr>
          <w:ilvl w:val="0"/>
          <w:numId w:val="1"/>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Жүктілікке дейінгі семіздік пен анемияның дамуындағы патогенетикалық механизмдерді зерттеп, қабыну және темір метаболизмінің бұзылыстары негізінде анемияның дамуын түсіндіретін патогенетикалық алгоритм құру.</w:t>
      </w:r>
    </w:p>
    <w:p w14:paraId="0E411504">
      <w:pPr>
        <w:widowControl w:val="0"/>
        <w:autoSpaceDE w:val="0"/>
        <w:autoSpaceDN w:val="0"/>
        <w:spacing w:after="0" w:line="276" w:lineRule="auto"/>
        <w:jc w:val="both"/>
        <w:outlineLvl w:val="0"/>
        <w:rPr>
          <w:rFonts w:ascii="Times New Roman" w:hAnsi="Times New Roman" w:eastAsia="Times New Roman" w:cs="Times New Roman"/>
          <w:b/>
          <w:bCs/>
          <w:sz w:val="28"/>
          <w:szCs w:val="28"/>
          <w:lang w:eastAsia="ru-RU"/>
        </w:rPr>
      </w:pPr>
      <w:r>
        <w:rPr>
          <w:rFonts w:ascii="Times New Roman" w:hAnsi="Times New Roman" w:eastAsia="Times New Roman" w:cs="Times New Roman"/>
          <w:b/>
          <w:bCs/>
          <w:sz w:val="28"/>
          <w:szCs w:val="28"/>
          <w:lang w:eastAsia="ru-RU"/>
        </w:rPr>
        <w:t>Ғылыми жаңалығы</w:t>
      </w:r>
    </w:p>
    <w:p w14:paraId="71D004DB">
      <w:pPr>
        <w:pStyle w:val="23"/>
        <w:widowControl w:val="0"/>
        <w:numPr>
          <w:ilvl w:val="0"/>
          <w:numId w:val="2"/>
        </w:numPr>
        <w:autoSpaceDE w:val="0"/>
        <w:autoSpaceDN w:val="0"/>
        <w:spacing w:after="0" w:line="276" w:lineRule="auto"/>
        <w:ind w:left="0" w:firstLine="0"/>
        <w:jc w:val="both"/>
        <w:outlineLvl w:val="0"/>
        <w:rPr>
          <w:rFonts w:ascii="Times New Roman" w:hAnsi="Times New Roman" w:eastAsia="Times New Roman" w:cs="Times New Roman"/>
          <w:color w:val="000000"/>
          <w:sz w:val="28"/>
          <w:szCs w:val="28"/>
          <w:lang w:eastAsia="ru-RU"/>
        </w:rPr>
      </w:pPr>
      <w:r>
        <w:rPr>
          <w:rFonts w:hint="default" w:ascii="Times New Roman" w:hAnsi="Times New Roman" w:eastAsia="SimSun" w:cs="Times New Roman"/>
          <w:sz w:val="28"/>
          <w:szCs w:val="28"/>
        </w:rPr>
        <w:t>Жүкті әйелдердегі гепсидин деңгейінің анемияның маңызды предикторы ретінде рөлі алғаш рет жан-жақты зерттелді. Гепсидин деңгейінің</w:t>
      </w:r>
      <w:r>
        <w:rPr>
          <w:rFonts w:hint="default" w:ascii="Times New Roman" w:hAnsi="Times New Roman" w:eastAsia="SimSun" w:cs="Times New Roman"/>
          <w:sz w:val="28"/>
          <w:szCs w:val="28"/>
          <w:lang w:val="kk-KZ"/>
        </w:rPr>
        <w:t xml:space="preserve"> </w:t>
      </w:r>
      <w:r>
        <w:rPr>
          <w:rFonts w:hint="default" w:ascii="Times New Roman" w:hAnsi="Times New Roman" w:eastAsia="SimSun" w:cs="Times New Roman"/>
          <w:sz w:val="28"/>
          <w:szCs w:val="28"/>
        </w:rPr>
        <w:t>семіздікпен үйлескен жағдайда</w:t>
      </w:r>
      <w:r>
        <w:rPr>
          <w:rFonts w:hint="default" w:ascii="Times New Roman" w:hAnsi="Times New Roman" w:eastAsia="SimSun" w:cs="Times New Roman"/>
          <w:sz w:val="28"/>
          <w:szCs w:val="28"/>
          <w:lang w:val="kk-KZ"/>
        </w:rPr>
        <w:t xml:space="preserve"> </w:t>
      </w:r>
      <w:r>
        <w:rPr>
          <w:rFonts w:hint="default" w:ascii="Times New Roman" w:hAnsi="Times New Roman" w:eastAsia="SimSun" w:cs="Times New Roman"/>
          <w:sz w:val="28"/>
          <w:szCs w:val="28"/>
        </w:rPr>
        <w:t xml:space="preserve"> жоғарылауы анемияның даму қаупін едәуір арттырып,  оның деңгейінің үш есеге артатыны анықталды. Бұл гепсидиннің қабыну процестері мен темір метаболизміндегі жетекші рөлін дәлелдейді.Зерттеу нәтижелері гепсидинді анемияны ерте диагностикалау мен </w:t>
      </w:r>
      <w:r>
        <w:rPr>
          <w:rFonts w:hint="default" w:ascii="Times New Roman" w:hAnsi="Times New Roman" w:eastAsia="SimSun" w:cs="Times New Roman"/>
          <w:sz w:val="28"/>
          <w:szCs w:val="28"/>
          <w:lang w:val="kk-KZ"/>
        </w:rPr>
        <w:t>ажыратпалы</w:t>
      </w:r>
      <w:r>
        <w:rPr>
          <w:rFonts w:hint="default" w:ascii="Times New Roman" w:hAnsi="Times New Roman" w:eastAsia="SimSun" w:cs="Times New Roman"/>
          <w:sz w:val="28"/>
          <w:szCs w:val="28"/>
        </w:rPr>
        <w:t xml:space="preserve"> диагностика үшін сенімді биомаркер ретінде қолдануға мүмкіндік береді. Гепсидин темір тапшылығы анемиясын басқа себептермен туындаған анемиялардан ажыратуға көмектесетін </w:t>
      </w:r>
      <w:r>
        <w:rPr>
          <w:rFonts w:hint="default" w:ascii="Times New Roman" w:hAnsi="Times New Roman" w:eastAsia="SimSun" w:cs="Times New Roman"/>
          <w:sz w:val="28"/>
          <w:szCs w:val="28"/>
          <w:lang w:val="kk-KZ"/>
        </w:rPr>
        <w:t>био</w:t>
      </w:r>
      <w:r>
        <w:rPr>
          <w:rFonts w:hint="default" w:ascii="Times New Roman" w:hAnsi="Times New Roman" w:eastAsia="SimSun" w:cs="Times New Roman"/>
          <w:sz w:val="28"/>
          <w:szCs w:val="28"/>
        </w:rPr>
        <w:t>маркер болып табылады</w:t>
      </w:r>
      <w:r>
        <w:rPr>
          <w:rFonts w:hint="default" w:ascii="Times New Roman" w:hAnsi="Times New Roman" w:eastAsia="SimSun" w:cs="Times New Roman"/>
          <w:sz w:val="28"/>
          <w:szCs w:val="28"/>
          <w:lang w:val="kk-KZ"/>
        </w:rPr>
        <w:t xml:space="preserve"> </w:t>
      </w:r>
      <w:r>
        <w:rPr>
          <w:rFonts w:ascii="Times New Roman" w:hAnsi="Times New Roman" w:eastAsia="Times New Roman" w:cs="Times New Roman"/>
          <w:sz w:val="28"/>
          <w:szCs w:val="28"/>
          <w:lang w:eastAsia="ru-RU"/>
        </w:rPr>
        <w:t>(2025 жылдың 8 қаңтардағы №53238</w:t>
      </w:r>
      <w:r>
        <w:rPr>
          <w:rFonts w:ascii="Times New Roman" w:hAnsi="Times New Roman" w:eastAsia="Times New Roman" w:cs="Times New Roman"/>
          <w:sz w:val="28"/>
          <w:szCs w:val="28"/>
          <w:lang w:val="kk-KZ" w:eastAsia="ru-RU"/>
        </w:rPr>
        <w:t xml:space="preserve"> </w:t>
      </w:r>
      <w:r>
        <w:rPr>
          <w:rFonts w:ascii="Times New Roman" w:hAnsi="Times New Roman" w:eastAsia="Times New Roman" w:cs="Times New Roman"/>
          <w:color w:val="000000"/>
          <w:sz w:val="28"/>
          <w:szCs w:val="28"/>
          <w:lang w:eastAsia="ru-RU"/>
        </w:rPr>
        <w:t>авторлық құқық куәлігі</w:t>
      </w:r>
      <w:r>
        <w:rPr>
          <w:rFonts w:ascii="Times New Roman" w:hAnsi="Times New Roman" w:eastAsia="Times New Roman" w:cs="Times New Roman"/>
          <w:sz w:val="28"/>
          <w:szCs w:val="28"/>
          <w:lang w:eastAsia="ru-RU"/>
        </w:rPr>
        <w:t>, Қосымша А. Жүктілікке дейінгі семіздігі бар жүктілерде анемия дамуында  темір алмасу маркерлерінің (гепсидин, ферритин</w:t>
      </w:r>
      <w:r>
        <w:rPr>
          <w:rFonts w:ascii="Times New Roman" w:hAnsi="Times New Roman" w:eastAsia="Times New Roman" w:cs="Times New Roman"/>
          <w:sz w:val="28"/>
          <w:szCs w:val="28"/>
          <w:lang w:val="kk-KZ" w:eastAsia="ru-RU"/>
        </w:rPr>
        <w:t>, ЭПО</w:t>
      </w:r>
      <w:r>
        <w:rPr>
          <w:rFonts w:ascii="Times New Roman" w:hAnsi="Times New Roman" w:eastAsia="Times New Roman" w:cs="Times New Roman"/>
          <w:sz w:val="28"/>
          <w:szCs w:val="28"/>
          <w:lang w:eastAsia="ru-RU"/>
        </w:rPr>
        <w:t>) болжамдылық маңыздылығы).</w:t>
      </w:r>
    </w:p>
    <w:p w14:paraId="54572D8F">
      <w:pPr>
        <w:pStyle w:val="23"/>
        <w:widowControl w:val="0"/>
        <w:numPr>
          <w:ilvl w:val="0"/>
          <w:numId w:val="2"/>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Жүкті әйелдердегі семіздік пен қабыну </w:t>
      </w:r>
      <w:r>
        <w:rPr>
          <w:rFonts w:ascii="Times New Roman" w:hAnsi="Times New Roman" w:eastAsia="Times New Roman" w:cs="Times New Roman"/>
          <w:sz w:val="28"/>
          <w:szCs w:val="28"/>
          <w:lang w:val="kk-KZ" w:eastAsia="ru-RU"/>
        </w:rPr>
        <w:t>үрдістерінің</w:t>
      </w:r>
      <w:r>
        <w:rPr>
          <w:rFonts w:ascii="Times New Roman" w:hAnsi="Times New Roman" w:eastAsia="Times New Roman" w:cs="Times New Roman"/>
          <w:sz w:val="28"/>
          <w:szCs w:val="28"/>
          <w:lang w:eastAsia="ru-RU"/>
        </w:rPr>
        <w:t xml:space="preserve"> өзара </w:t>
      </w:r>
      <w:r>
        <w:rPr>
          <w:rFonts w:ascii="Times New Roman" w:hAnsi="Times New Roman" w:eastAsia="Times New Roman" w:cs="Times New Roman"/>
          <w:strike w:val="0"/>
          <w:dstrike w:val="0"/>
          <w:sz w:val="28"/>
          <w:szCs w:val="28"/>
          <w:lang w:eastAsia="ru-RU"/>
        </w:rPr>
        <w:t xml:space="preserve">байланысы алғаш рет кешенді түрде дәлелденді. Интерлейкин–6 және С-реактивті ақуыз деңгейлері семіздігі бар әйелдерде айтарлықтай жоғары және олардың қабыну белсенділігімен тығыз байланысы анықталды. </w:t>
      </w:r>
      <w:r>
        <w:rPr>
          <w:rFonts w:ascii="Times New Roman" w:hAnsi="Times New Roman" w:eastAsia="Times New Roman" w:cs="Times New Roman"/>
          <w:color w:val="000000"/>
          <w:sz w:val="28"/>
          <w:szCs w:val="28"/>
          <w:lang w:eastAsia="ru-RU"/>
        </w:rPr>
        <w:t xml:space="preserve">(2025 жылдың 15 қаңтардағы №53486 авторлық құқық куәлігі, Қосымша А. </w:t>
      </w:r>
      <w:r>
        <w:rPr>
          <w:rFonts w:ascii="Times New Roman" w:hAnsi="Times New Roman" w:eastAsia="SimSun" w:cs="Times New Roman"/>
          <w:color w:val="000000"/>
          <w:sz w:val="28"/>
          <w:szCs w:val="28"/>
          <w:lang w:eastAsia="ru-RU"/>
        </w:rPr>
        <w:t>Жүктілікке дейінгі семіздігі бар жүктілерде анемия дамуында қабыну медиаторларының (ИЛ–6, CРА) маркерлерінің болжамдылық маңыздылығы</w:t>
      </w:r>
      <w:r>
        <w:rPr>
          <w:rFonts w:ascii="Times New Roman" w:hAnsi="Times New Roman" w:eastAsia="Times New Roman" w:cs="Times New Roman"/>
          <w:color w:val="000000"/>
          <w:sz w:val="28"/>
          <w:szCs w:val="28"/>
          <w:lang w:eastAsia="ru-RU"/>
        </w:rPr>
        <w:t>).</w:t>
      </w:r>
    </w:p>
    <w:p w14:paraId="35037E2E">
      <w:pPr>
        <w:pStyle w:val="23"/>
        <w:widowControl w:val="0"/>
        <w:numPr>
          <w:ilvl w:val="0"/>
          <w:numId w:val="2"/>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Жүкті әйелдердегі семіздік пен қабыну </w:t>
      </w:r>
      <w:r>
        <w:rPr>
          <w:rFonts w:ascii="Times New Roman" w:hAnsi="Times New Roman" w:eastAsia="Times New Roman" w:cs="Times New Roman"/>
          <w:sz w:val="28"/>
          <w:szCs w:val="28"/>
          <w:lang w:val="kk-KZ" w:eastAsia="ru-RU"/>
        </w:rPr>
        <w:t>үрдістерінің</w:t>
      </w:r>
      <w:r>
        <w:rPr>
          <w:rFonts w:ascii="Times New Roman" w:hAnsi="Times New Roman" w:eastAsia="Times New Roman" w:cs="Times New Roman"/>
          <w:sz w:val="28"/>
          <w:szCs w:val="28"/>
          <w:lang w:eastAsia="ru-RU"/>
        </w:rPr>
        <w:t xml:space="preserve"> өзара </w:t>
      </w:r>
      <w:r>
        <w:rPr>
          <w:rFonts w:ascii="Times New Roman" w:hAnsi="Times New Roman" w:eastAsia="Times New Roman" w:cs="Times New Roman"/>
          <w:strike w:val="0"/>
          <w:dstrike w:val="0"/>
          <w:sz w:val="28"/>
          <w:szCs w:val="28"/>
          <w:lang w:eastAsia="ru-RU"/>
        </w:rPr>
        <w:t xml:space="preserve">байланысы алғаш рет кешенді түрде дәлелденді. Интерлейкин–6 және С-реактивті ақуыз деңгейлері семіздігі бар әйелдерде айтарлықтай жоғары және олардың қабыну белсенділігімен тығыз байланысы анықталды. </w:t>
      </w:r>
      <w:r>
        <w:rPr>
          <w:rFonts w:ascii="Times New Roman" w:hAnsi="Times New Roman" w:eastAsia="Times New Roman" w:cs="Times New Roman"/>
          <w:sz w:val="28"/>
          <w:szCs w:val="28"/>
          <w:lang w:eastAsia="ru-RU"/>
        </w:rPr>
        <w:t xml:space="preserve"> (2025 жылдың 20 қаңтардағы №5362 авторлық құқық куәлігі, Қосымша А. </w:t>
      </w:r>
      <w:r>
        <w:rPr>
          <w:rFonts w:ascii="Times New Roman" w:hAnsi="Times New Roman" w:eastAsia="SimSun" w:cs="Times New Roman"/>
          <w:color w:val="000000"/>
          <w:sz w:val="28"/>
          <w:szCs w:val="28"/>
          <w:lang w:eastAsia="ru-RU"/>
        </w:rPr>
        <w:t xml:space="preserve">Жоғары </w:t>
      </w:r>
      <w:r>
        <w:rPr>
          <w:rFonts w:ascii="Times New Roman" w:hAnsi="Times New Roman" w:eastAsia="SimSun" w:cs="Times New Roman"/>
          <w:color w:val="000000"/>
          <w:sz w:val="28"/>
          <w:szCs w:val="28"/>
          <w:lang w:val="kk-KZ" w:eastAsia="ru-RU"/>
        </w:rPr>
        <w:t>дене салмағының индексінің</w:t>
      </w:r>
      <w:r>
        <w:rPr>
          <w:rFonts w:ascii="Times New Roman" w:hAnsi="Times New Roman" w:eastAsia="SimSun" w:cs="Times New Roman"/>
          <w:color w:val="000000"/>
          <w:sz w:val="28"/>
          <w:szCs w:val="28"/>
          <w:lang w:eastAsia="ru-RU"/>
        </w:rPr>
        <w:t xml:space="preserve"> төмен дәрежелі қабыну үрдісі арқылы анемия дамытуының патогенетикалық алгоритмі</w:t>
      </w:r>
      <w:r>
        <w:rPr>
          <w:rFonts w:ascii="Times New Roman" w:hAnsi="Times New Roman" w:eastAsia="Times New Roman" w:cs="Times New Roman"/>
          <w:sz w:val="28"/>
          <w:szCs w:val="28"/>
          <w:lang w:eastAsia="ru-RU"/>
        </w:rPr>
        <w:t>).</w:t>
      </w:r>
    </w:p>
    <w:p w14:paraId="70EA88A7">
      <w:pPr>
        <w:pStyle w:val="23"/>
        <w:widowControl w:val="0"/>
        <w:numPr>
          <w:ilvl w:val="0"/>
          <w:numId w:val="2"/>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Алғаш рет семіздік пен анемияның босану ағымына және перинаталдық асқынуларға бірлескен әсері кешенді түрде бағаланды. Семіздік пен анемия үйлескен жағдайда гестациялық диабет (33,3%-ға дейін), гипертензия (25%), иық дистоциясы (21,1%), макросомия (18,4%) және төмен Апгар көрсеткіші (15,8%) сияқты асқынулардың жиілігі статистикалық тұрғыдан мағыналы түрде артатыны анықталды. Бұл деректер семіз жүкті әйелдер арасындағы перинаталдық қауіптерді басқару үшін профилактикалық және клиникалық шараларды жетілдіруге негіз бола алады.</w:t>
      </w:r>
    </w:p>
    <w:p w14:paraId="24D1BEEB">
      <w:pPr>
        <w:widowControl w:val="0"/>
        <w:autoSpaceDE w:val="0"/>
        <w:autoSpaceDN w:val="0"/>
        <w:spacing w:after="0" w:line="276" w:lineRule="auto"/>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b/>
          <w:bCs/>
          <w:sz w:val="28"/>
          <w:szCs w:val="28"/>
          <w:lang w:eastAsia="ru-RU"/>
        </w:rPr>
        <w:t>Қорғауға ұсынылатын негізгі ережелер:</w:t>
      </w:r>
    </w:p>
    <w:p w14:paraId="1D95FBB7">
      <w:pPr>
        <w:pStyle w:val="23"/>
        <w:widowControl w:val="0"/>
        <w:numPr>
          <w:ilvl w:val="0"/>
          <w:numId w:val="3"/>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Гепсидин жүкті әйелдердегі анемияның патогенезіндегі шешуші рөл атқарады. </w:t>
      </w:r>
      <w:r>
        <w:rPr>
          <w:rFonts w:ascii="Times New Roman" w:hAnsi="Times New Roman" w:eastAsia="Calibri" w:cs="Times New Roman"/>
          <w:sz w:val="28"/>
          <w:szCs w:val="28"/>
          <w:lang w:eastAsia="ru-RU"/>
        </w:rPr>
        <w:t xml:space="preserve">Зерттеу гепсидин деңгейінің анемия қаупімен және қабыну процестерімен тығыз байланысын көрсетті. Анемия мен семіздік бірге кездескен жағдайда гепсидин деңгейінің үш есеге жоғарылауы (Ме = 1786,59 [Q1: 1510,64 – Q3: 1940,43], p&lt;0,001) анықталды. Бұл оның темір метаболизміне тікелей әсер ететінін көрсетеді және гепсидинді жүкті әйелдердегі анемияны ерте диагностикалау мен темір терапиясының </w:t>
      </w:r>
      <w:r>
        <w:rPr>
          <w:rFonts w:ascii="Times New Roman" w:hAnsi="Times New Roman" w:eastAsia="Calibri" w:cs="Times New Roman"/>
          <w:color w:val="000000"/>
          <w:sz w:val="28"/>
          <w:szCs w:val="28"/>
          <w:lang w:eastAsia="ru-RU"/>
        </w:rPr>
        <w:t>тиімділігін бағалауда қолданудың маңызды биомаркері ретінде қарастыруға мүмкіндік береді.</w:t>
      </w:r>
    </w:p>
    <w:p w14:paraId="42EBE647">
      <w:pPr>
        <w:pStyle w:val="23"/>
        <w:widowControl w:val="0"/>
        <w:numPr>
          <w:ilvl w:val="0"/>
          <w:numId w:val="3"/>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w:t>
      </w:r>
      <w:r>
        <w:rPr>
          <w:rFonts w:hint="default" w:ascii="Times New Roman" w:hAnsi="Times New Roman" w:eastAsia="SimSun" w:cs="Times New Roman"/>
          <w:sz w:val="28"/>
          <w:szCs w:val="28"/>
        </w:rPr>
        <w:t xml:space="preserve">Жүкті әйелдердегі қабыну маркерлері (интерлейкин-6 және С-реактивті ақуыз) деңгейі мен </w:t>
      </w:r>
      <w:r>
        <w:rPr>
          <w:rFonts w:hint="default" w:ascii="Times New Roman" w:hAnsi="Times New Roman" w:eastAsia="SimSun" w:cs="Times New Roman"/>
          <w:sz w:val="28"/>
          <w:szCs w:val="28"/>
          <w:lang w:val="kk-KZ"/>
        </w:rPr>
        <w:t xml:space="preserve">дене салмағы индексі </w:t>
      </w:r>
      <w:r>
        <w:rPr>
          <w:rFonts w:hint="default" w:ascii="Times New Roman" w:hAnsi="Times New Roman" w:eastAsia="SimSun" w:cs="Times New Roman"/>
          <w:sz w:val="28"/>
          <w:szCs w:val="28"/>
        </w:rPr>
        <w:t xml:space="preserve"> арасында өзара байланыс анықталды: дене салмағы индексі артқан сайын </w:t>
      </w:r>
      <w:r>
        <w:rPr>
          <w:rFonts w:hint="default" w:ascii="Times New Roman" w:hAnsi="Times New Roman" w:eastAsia="SimSun" w:cs="Times New Roman"/>
          <w:sz w:val="28"/>
          <w:szCs w:val="28"/>
          <w:lang w:val="kk-KZ"/>
        </w:rPr>
        <w:t>қабыну маркерлерінің де</w:t>
      </w:r>
      <w:r>
        <w:rPr>
          <w:rFonts w:hint="default" w:ascii="Times New Roman" w:hAnsi="Times New Roman" w:eastAsia="SimSun" w:cs="Times New Roman"/>
          <w:sz w:val="28"/>
          <w:szCs w:val="28"/>
        </w:rPr>
        <w:t xml:space="preserve"> концентрациясы жоғарылайды (С-реактивті ақуыз: r = 0,394, p &lt; 0,01; интерлейкин-6: r = 0,561, p &lt; 0,01). Бұл көрсеткіштер анемия мен қабынуға байланысты асқынулардың даму қаупін болжауда маңызды маркерлер ретінде бағаланады.</w:t>
      </w:r>
    </w:p>
    <w:p w14:paraId="2827D667">
      <w:pPr>
        <w:pStyle w:val="23"/>
        <w:widowControl w:val="0"/>
        <w:numPr>
          <w:ilvl w:val="0"/>
          <w:numId w:val="3"/>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Гепсидин, ферритин, </w:t>
      </w:r>
      <w:r>
        <w:rPr>
          <w:rFonts w:ascii="Times New Roman" w:hAnsi="Times New Roman" w:eastAsia="Times New Roman" w:cs="Times New Roman"/>
          <w:sz w:val="28"/>
          <w:szCs w:val="28"/>
          <w:lang w:val="kk-KZ" w:eastAsia="ru-RU"/>
        </w:rPr>
        <w:t>ЭПО</w:t>
      </w:r>
      <w:r>
        <w:rPr>
          <w:rFonts w:ascii="Times New Roman" w:hAnsi="Times New Roman" w:eastAsia="Times New Roman" w:cs="Times New Roman"/>
          <w:sz w:val="28"/>
          <w:szCs w:val="28"/>
          <w:lang w:eastAsia="ru-RU"/>
        </w:rPr>
        <w:t xml:space="preserve">, ИЛ–6 және СРА деңгейлерін бірлесіп бағалау жүкті әйелдердегі анемияны ерте анықтаудағы тиімді әдіс ретінде ұсынылады. Бұл тәсіл анемияның даму қаупін жоғары дәлдікпен болжауға мүмкіндік береді және патологияның алдын алу шараларын оңтайландыруға негіз болады. </w:t>
      </w:r>
      <w:r>
        <w:rPr>
          <w:rFonts w:ascii="Times New Roman" w:hAnsi="Times New Roman" w:eastAsia="Calibri" w:cs="Times New Roman"/>
          <w:sz w:val="28"/>
          <w:szCs w:val="28"/>
          <w:lang w:eastAsia="ru-RU"/>
        </w:rPr>
        <w:t>Прогностикалық модельдің классификация дәлдігі жоғары (77,8%), ал ROC-қисы</w:t>
      </w:r>
      <w:r>
        <w:rPr>
          <w:rFonts w:ascii="Times New Roman" w:hAnsi="Times New Roman" w:eastAsia="Calibri" w:cs="Times New Roman"/>
          <w:sz w:val="28"/>
          <w:szCs w:val="28"/>
          <w:lang w:val="kk-KZ" w:eastAsia="ru-RU"/>
        </w:rPr>
        <w:t>ғы</w:t>
      </w:r>
      <w:r>
        <w:rPr>
          <w:rFonts w:ascii="Times New Roman" w:hAnsi="Times New Roman" w:eastAsia="Calibri" w:cs="Times New Roman"/>
          <w:sz w:val="28"/>
          <w:szCs w:val="28"/>
          <w:lang w:eastAsia="ru-RU"/>
        </w:rPr>
        <w:t xml:space="preserve"> бойынша диагностикалық дәлдігі (AUC = 0,864; 95% CI = 0,810–0,918; p &lt; 0,001) болып, анемияны болжауда сенімді құрал екенін көрсетті. </w:t>
      </w:r>
      <w:r>
        <w:rPr>
          <w:rFonts w:ascii="Times New Roman" w:hAnsi="Times New Roman" w:eastAsia="Times New Roman" w:cs="Times New Roman"/>
          <w:sz w:val="28"/>
          <w:szCs w:val="28"/>
          <w:lang w:eastAsia="ru-RU"/>
        </w:rPr>
        <w:t>Бұл тәсіл әрбір жүкті әйел үшін жеке диагностикалық және емдеу жоспарын құруға мүмкіндік береді.</w:t>
      </w:r>
    </w:p>
    <w:p w14:paraId="1B58E53E">
      <w:pPr>
        <w:pStyle w:val="23"/>
        <w:widowControl w:val="0"/>
        <w:numPr>
          <w:ilvl w:val="0"/>
          <w:numId w:val="3"/>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Семіздік пен анемияның өзара әсері жүкті әйелдерде г</w:t>
      </w:r>
      <w:r>
        <w:rPr>
          <w:rFonts w:ascii="Times New Roman" w:hAnsi="Times New Roman" w:eastAsia="Calibri" w:cs="Times New Roman"/>
          <w:sz w:val="28"/>
          <w:szCs w:val="28"/>
          <w:lang w:eastAsia="ru-RU"/>
        </w:rPr>
        <w:t xml:space="preserve">естациялық диабет (χ²=14,141, р=0,0027), гипертензия (χ²=9,958, р=0,0189), иық дистоциясы (χ²=12,069, р=0,0072), ірі ұрықпен босану (χ²=7,958, р=0,0469) және нәрестелердің Апгар шкаласы бойынша 7 баллдан төмен бағалануы (χ²=10,594, р=0,0141) </w:t>
      </w:r>
      <w:r>
        <w:rPr>
          <w:rFonts w:ascii="Times New Roman" w:hAnsi="Times New Roman" w:eastAsia="Times New Roman" w:cs="Times New Roman"/>
          <w:sz w:val="28"/>
          <w:szCs w:val="28"/>
          <w:lang w:eastAsia="ru-RU"/>
        </w:rPr>
        <w:t xml:space="preserve"> сияқты перинаталдық асқынулардың жиілігін айтарлықтай арттырады. Бұл деректер перинаталдық асқынуларды бағалауда жаңа тәсілдерді енгізуге және алдын алу шараларын жетілдіруге мүмкіндік береді. Алдын алу шаралары анемияны ерте диагностикалау мен емдеуді, сондай-ақ саламатты өмір салтын ұстануды қамтуы тиіс. </w:t>
      </w:r>
    </w:p>
    <w:p w14:paraId="56F3AB2F">
      <w:pPr>
        <w:widowControl w:val="0"/>
        <w:autoSpaceDE w:val="0"/>
        <w:autoSpaceDN w:val="0"/>
        <w:spacing w:after="0" w:line="240" w:lineRule="auto"/>
        <w:jc w:val="both"/>
        <w:rPr>
          <w:rFonts w:hint="default" w:ascii="Times New Roman" w:hAnsi="Times New Roman" w:eastAsia="Times New Roman" w:cs="Times New Roman"/>
          <w:b/>
          <w:bCs/>
          <w:sz w:val="28"/>
          <w:szCs w:val="28"/>
          <w:lang w:eastAsia="ru-RU"/>
        </w:rPr>
      </w:pPr>
      <w:r>
        <w:rPr>
          <w:rFonts w:hint="default" w:ascii="Times New Roman" w:hAnsi="Times New Roman" w:eastAsia="Times New Roman" w:cs="Times New Roman"/>
          <w:b/>
          <w:bCs/>
          <w:sz w:val="28"/>
          <w:szCs w:val="28"/>
          <w:lang w:eastAsia="ru-RU"/>
        </w:rPr>
        <w:t>Практикалық маңыздылығы</w:t>
      </w:r>
    </w:p>
    <w:p w14:paraId="37C120A1">
      <w:pPr>
        <w:pStyle w:val="23"/>
        <w:widowControl w:val="0"/>
        <w:numPr>
          <w:ilvl w:val="0"/>
          <w:numId w:val="4"/>
        </w:numPr>
        <w:tabs>
          <w:tab w:val="left" w:pos="0"/>
          <w:tab w:val="left" w:pos="660"/>
          <w:tab w:val="left" w:pos="31680"/>
          <w:tab w:val="clear" w:pos="425"/>
        </w:tabs>
        <w:autoSpaceDE w:val="0"/>
        <w:autoSpaceDN w:val="0"/>
        <w:spacing w:after="0" w:line="240" w:lineRule="auto"/>
        <w:ind w:left="425" w:leftChars="0" w:hanging="65" w:firstLineChars="0"/>
        <w:jc w:val="both"/>
        <w:rPr>
          <w:rFonts w:hint="default" w:ascii="Times New Roman" w:hAnsi="Times New Roman" w:eastAsia="Times New Roman" w:cs="Times New Roman"/>
          <w:sz w:val="28"/>
          <w:szCs w:val="28"/>
          <w:lang w:eastAsia="ru-RU"/>
        </w:rPr>
      </w:pPr>
      <w:r>
        <w:rPr>
          <w:rFonts w:hint="default" w:ascii="Times New Roman" w:hAnsi="Times New Roman" w:cs="Times New Roman"/>
          <w:sz w:val="28"/>
          <w:szCs w:val="28"/>
        </w:rPr>
        <w:t>Гепсидин деңгейін бақылау жүкті әйелдерде анемияны ерте диагностикалауға мүмкіндік береді. Оның жоғарылауы анемия қаупінің сенімді предикторы болып табылады және темір тапшылығынан туындаған анемияны басқа анемиялық синдром түрлерінен ажырату, сондай-ақ терапия тиімділігін бағалау үшін қолданылуы мүмкін.</w:t>
      </w:r>
    </w:p>
    <w:p w14:paraId="774F2969">
      <w:pPr>
        <w:pStyle w:val="23"/>
        <w:widowControl w:val="0"/>
        <w:numPr>
          <w:ilvl w:val="0"/>
          <w:numId w:val="4"/>
        </w:numPr>
        <w:tabs>
          <w:tab w:val="left" w:pos="0"/>
          <w:tab w:val="left" w:pos="660"/>
          <w:tab w:val="left" w:pos="31680"/>
          <w:tab w:val="clear" w:pos="425"/>
        </w:tabs>
        <w:autoSpaceDE w:val="0"/>
        <w:autoSpaceDN w:val="0"/>
        <w:spacing w:after="0" w:line="240" w:lineRule="auto"/>
        <w:ind w:left="425" w:leftChars="0" w:hanging="65" w:firstLineChars="0"/>
        <w:jc w:val="both"/>
        <w:rPr>
          <w:rFonts w:hint="default" w:ascii="Times New Roman" w:hAnsi="Times New Roman" w:cs="Times New Roman"/>
          <w:sz w:val="28"/>
          <w:szCs w:val="28"/>
        </w:rPr>
      </w:pPr>
      <w:r>
        <w:rPr>
          <w:rFonts w:hint="default" w:ascii="Times New Roman" w:hAnsi="Times New Roman" w:eastAsia="SimSun" w:cs="Times New Roman"/>
          <w:sz w:val="28"/>
          <w:szCs w:val="28"/>
        </w:rPr>
        <w:t>Темір алмасу (гепсидин, ферритин, эритропоэтин) және қабыну маркерлерін (интерлейкин-6 және С-реактивті ақуыз) кешенді зерттеу анемия даму қаупін жоғары дәлдікпен болжауға және алдын алу мен емдеуді дараландыруға мүмкіндік береді. Аталған көрсеткіштердің жоғары мәндері қауіп тобына кіретін әйелдерді уақтылы анықтап, асқынулардың алдын алуға жол ашады.</w:t>
      </w:r>
    </w:p>
    <w:p w14:paraId="172489B1">
      <w:pPr>
        <w:pStyle w:val="23"/>
        <w:widowControl w:val="0"/>
        <w:numPr>
          <w:ilvl w:val="0"/>
          <w:numId w:val="4"/>
        </w:numPr>
        <w:tabs>
          <w:tab w:val="left" w:pos="0"/>
          <w:tab w:val="left" w:pos="660"/>
          <w:tab w:val="left" w:pos="31680"/>
          <w:tab w:val="clear" w:pos="425"/>
        </w:tabs>
        <w:autoSpaceDE w:val="0"/>
        <w:autoSpaceDN w:val="0"/>
        <w:spacing w:after="0" w:line="240" w:lineRule="auto"/>
        <w:ind w:left="425" w:leftChars="0" w:hanging="65" w:firstLineChars="0"/>
        <w:jc w:val="both"/>
        <w:rPr>
          <w:rFonts w:hint="default" w:ascii="Times New Roman" w:hAnsi="Times New Roman" w:cs="Times New Roman"/>
          <w:sz w:val="28"/>
          <w:szCs w:val="28"/>
        </w:rPr>
      </w:pPr>
      <w:r>
        <w:rPr>
          <w:rFonts w:hint="default" w:ascii="Times New Roman" w:hAnsi="Times New Roman" w:cs="Times New Roman"/>
          <w:sz w:val="28"/>
          <w:szCs w:val="28"/>
        </w:rPr>
        <w:t>Семіз</w:t>
      </w:r>
      <w:r>
        <w:rPr>
          <w:rFonts w:hint="default" w:ascii="Times New Roman" w:hAnsi="Times New Roman" w:cs="Times New Roman"/>
          <w:sz w:val="28"/>
          <w:szCs w:val="28"/>
          <w:lang w:val="kk-KZ"/>
        </w:rPr>
        <w:t xml:space="preserve">дігі бар </w:t>
      </w:r>
      <w:r>
        <w:rPr>
          <w:rFonts w:hint="default" w:ascii="Times New Roman" w:hAnsi="Times New Roman" w:cs="Times New Roman"/>
          <w:sz w:val="28"/>
          <w:szCs w:val="28"/>
        </w:rPr>
        <w:t>жүкті әйелдерде анемияны ерте диагностикалау терапияны ерте бастауға, өмір салтын түзетуге және перинаталдық асқынулардың (гестациялық қант диабеті, гипертензия және ірі салмақты нәрестенің туылуы) алдын алуға бағытталған кешенді шараларды әзірлеуге мүмкіндік береді.</w:t>
      </w:r>
    </w:p>
    <w:p w14:paraId="43E79791">
      <w:pPr>
        <w:widowControl w:val="0"/>
        <w:autoSpaceDE w:val="0"/>
        <w:autoSpaceDN w:val="0"/>
        <w:spacing w:after="0" w:line="276" w:lineRule="auto"/>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b/>
          <w:bCs/>
          <w:sz w:val="28"/>
          <w:szCs w:val="28"/>
          <w:lang w:eastAsia="ru-RU"/>
        </w:rPr>
        <w:t>Практикалық енгізу</w:t>
      </w:r>
      <w:r>
        <w:rPr>
          <w:rFonts w:ascii="Times New Roman" w:hAnsi="Times New Roman" w:eastAsia="Times New Roman" w:cs="Times New Roman"/>
          <w:sz w:val="28"/>
          <w:szCs w:val="28"/>
          <w:lang w:eastAsia="ru-RU"/>
        </w:rPr>
        <w:t xml:space="preserve"> </w:t>
      </w:r>
    </w:p>
    <w:p w14:paraId="26AE78BC">
      <w:pPr>
        <w:widowControl w:val="0"/>
        <w:autoSpaceDE w:val="0"/>
        <w:autoSpaceDN w:val="0"/>
        <w:spacing w:after="0" w:line="276" w:lineRule="auto"/>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Зерттеу нәтижелері Карағанды ​​облысының №1 Перинаталдық орталығының акушерлік–гинекологиялық тәжірибесіне және №1 Студенттік емхана</w:t>
      </w:r>
      <w:r>
        <w:rPr>
          <w:rFonts w:ascii="Times New Roman" w:hAnsi="Times New Roman" w:eastAsia="Times New Roman" w:cs="Times New Roman"/>
          <w:sz w:val="28"/>
          <w:szCs w:val="28"/>
          <w:lang w:val="kk-KZ" w:eastAsia="ru-RU"/>
        </w:rPr>
        <w:t>сының гинекологиялық тәжірибесіне</w:t>
      </w:r>
      <w:r>
        <w:rPr>
          <w:rFonts w:ascii="Times New Roman" w:hAnsi="Times New Roman" w:eastAsia="Times New Roman" w:cs="Times New Roman"/>
          <w:sz w:val="28"/>
          <w:szCs w:val="28"/>
          <w:lang w:eastAsia="ru-RU"/>
        </w:rPr>
        <w:t xml:space="preserve"> енгізілді, онда жүктілікке дейінгі семіздікпен ауыратын жүкті әйелдерде анемияның алдын алу үшін темір және қабыну маркерлерін бағалау жүргізіледі (Енгізу </w:t>
      </w:r>
      <w:r>
        <w:rPr>
          <w:rFonts w:ascii="Times New Roman" w:hAnsi="Times New Roman" w:eastAsia="Times New Roman" w:cs="Times New Roman"/>
          <w:color w:val="000000" w:themeColor="text1"/>
          <w:sz w:val="28"/>
          <w:szCs w:val="28"/>
          <w:lang w:eastAsia="ru-RU"/>
          <w14:textFill>
            <w14:solidFill>
              <w14:schemeClr w14:val="tx1"/>
            </w14:solidFill>
          </w14:textFill>
        </w:rPr>
        <w:t>акті</w:t>
      </w:r>
      <w:r>
        <w:rPr>
          <w:rFonts w:ascii="Times New Roman" w:hAnsi="Times New Roman" w:eastAsia="Times New Roman" w:cs="Times New Roman"/>
          <w:color w:val="000000" w:themeColor="text1"/>
          <w:sz w:val="28"/>
          <w:szCs w:val="28"/>
          <w:lang w:val="kk-KZ" w:eastAsia="ru-RU"/>
          <w14:textFill>
            <w14:solidFill>
              <w14:schemeClr w14:val="tx1"/>
            </w14:solidFill>
          </w14:textFill>
        </w:rPr>
        <w:t xml:space="preserve"> </w:t>
      </w:r>
      <w:r>
        <w:rPr>
          <w:rFonts w:ascii="Times New Roman" w:hAnsi="Times New Roman" w:eastAsia="Times New Roman" w:cs="Times New Roman"/>
          <w:color w:val="000000" w:themeColor="text1"/>
          <w:sz w:val="28"/>
          <w:szCs w:val="28"/>
          <w:lang w:eastAsia="ru-RU"/>
          <w14:textFill>
            <w14:solidFill>
              <w14:schemeClr w14:val="tx1"/>
            </w14:solidFill>
          </w14:textFill>
        </w:rPr>
        <w:t>22.04.2024</w:t>
      </w:r>
      <w:r>
        <w:rPr>
          <w:rFonts w:ascii="Times New Roman" w:hAnsi="Times New Roman" w:eastAsia="Times New Roman" w:cs="Times New Roman"/>
          <w:color w:val="000000" w:themeColor="text1"/>
          <w:sz w:val="28"/>
          <w:szCs w:val="28"/>
          <w:lang w:val="kk-KZ" w:eastAsia="ru-RU"/>
          <w14:textFill>
            <w14:solidFill>
              <w14:schemeClr w14:val="tx1"/>
            </w14:solidFill>
          </w14:textFill>
        </w:rPr>
        <w:t>ж</w:t>
      </w:r>
      <w:r>
        <w:rPr>
          <w:rFonts w:ascii="Times New Roman" w:hAnsi="Times New Roman" w:eastAsia="Times New Roman" w:cs="Times New Roman"/>
          <w:color w:val="000000" w:themeColor="text1"/>
          <w:sz w:val="28"/>
          <w:szCs w:val="28"/>
          <w:lang w:eastAsia="ru-RU"/>
          <w14:textFill>
            <w14:solidFill>
              <w14:schemeClr w14:val="tx1"/>
            </w14:solidFill>
          </w14:textFill>
        </w:rPr>
        <w:t xml:space="preserve"> </w:t>
      </w:r>
      <w:r>
        <w:rPr>
          <w:rFonts w:ascii="Times New Roman" w:hAnsi="Times New Roman" w:eastAsia="Times New Roman" w:cs="Times New Roman"/>
          <w:color w:val="000000" w:themeColor="text1"/>
          <w:sz w:val="28"/>
          <w:szCs w:val="28"/>
          <w:lang w:val="kk-KZ" w:eastAsia="ru-RU"/>
          <w14:textFill>
            <w14:solidFill>
              <w14:schemeClr w14:val="tx1"/>
            </w14:solidFill>
          </w14:textFill>
        </w:rPr>
        <w:t xml:space="preserve">және </w:t>
      </w:r>
      <w:r>
        <w:rPr>
          <w:rFonts w:ascii="Times New Roman" w:hAnsi="Times New Roman" w:eastAsia="Times New Roman" w:cs="Times New Roman"/>
          <w:color w:val="000000" w:themeColor="text1"/>
          <w:sz w:val="28"/>
          <w:szCs w:val="28"/>
          <w:lang w:eastAsia="ru-RU"/>
          <w14:textFill>
            <w14:solidFill>
              <w14:schemeClr w14:val="tx1"/>
            </w14:solidFill>
          </w14:textFill>
        </w:rPr>
        <w:t>04.11.2024</w:t>
      </w:r>
      <w:r>
        <w:rPr>
          <w:rFonts w:ascii="Times New Roman" w:hAnsi="Times New Roman" w:eastAsia="Times New Roman" w:cs="Times New Roman"/>
          <w:color w:val="000000" w:themeColor="text1"/>
          <w:sz w:val="28"/>
          <w:szCs w:val="28"/>
          <w:lang w:val="kk-KZ" w:eastAsia="ru-RU"/>
          <w14:textFill>
            <w14:solidFill>
              <w14:schemeClr w14:val="tx1"/>
            </w14:solidFill>
          </w14:textFill>
        </w:rPr>
        <w:t>ж</w:t>
      </w:r>
      <w:r>
        <w:rPr>
          <w:rFonts w:ascii="Times New Roman" w:hAnsi="Times New Roman" w:eastAsia="Times New Roman" w:cs="Times New Roman"/>
          <w:sz w:val="28"/>
          <w:szCs w:val="28"/>
          <w:lang w:eastAsia="ru-RU"/>
        </w:rPr>
        <w:t>. Қосыша Ә).</w:t>
      </w:r>
    </w:p>
    <w:p w14:paraId="0E5A7CB9">
      <w:pPr>
        <w:widowControl w:val="0"/>
        <w:autoSpaceDE w:val="0"/>
        <w:autoSpaceDN w:val="0"/>
        <w:spacing w:after="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b/>
          <w:bCs/>
          <w:sz w:val="28"/>
          <w:szCs w:val="28"/>
          <w:lang w:eastAsia="ru-RU"/>
        </w:rPr>
        <w:t>Автордың жеке үлесі</w:t>
      </w:r>
    </w:p>
    <w:p w14:paraId="406F7011">
      <w:pPr>
        <w:widowControl w:val="0"/>
        <w:autoSpaceDE w:val="0"/>
        <w:autoSpaceDN w:val="0"/>
        <w:spacing w:after="0" w:line="276" w:lineRule="auto"/>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Автор диссертацияның гипотезасын, мақсаттары мен міндеттерін, сондай–ақ клиникалық зерттеу дизайнын өз бетінше әзірледі. Автор зерттеудің барлық кезеңдеріне, оның ішінде пациенттерді іріктеуге, клиникалық және зертханалық деректерді жинауға және зертханалық зерттеулерге белсенді көмек көрсетуге қатысты. Деректерді талдау, қорытындылар мен практикалық ұсыныстарды тұжырымдау автордың жеке еңбегі.</w:t>
      </w:r>
    </w:p>
    <w:p w14:paraId="0E2B121F">
      <w:pPr>
        <w:widowControl w:val="0"/>
        <w:autoSpaceDE w:val="0"/>
        <w:autoSpaceDN w:val="0"/>
        <w:spacing w:after="0" w:line="276" w:lineRule="auto"/>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b/>
          <w:bCs/>
          <w:sz w:val="28"/>
          <w:szCs w:val="28"/>
          <w:lang w:eastAsia="ru-RU"/>
        </w:rPr>
        <w:t>Дәлелдеу деңгейі және апробация:</w:t>
      </w:r>
      <w:r>
        <w:rPr>
          <w:rFonts w:ascii="Times New Roman" w:hAnsi="Times New Roman" w:eastAsia="Times New Roman" w:cs="Times New Roman"/>
          <w:sz w:val="28"/>
          <w:szCs w:val="28"/>
          <w:lang w:eastAsia="ru-RU"/>
        </w:rPr>
        <w:t xml:space="preserve"> </w:t>
      </w:r>
    </w:p>
    <w:p w14:paraId="2562EFDA">
      <w:pPr>
        <w:pStyle w:val="12"/>
        <w:numPr>
          <w:ilvl w:val="0"/>
          <w:numId w:val="5"/>
        </w:numPr>
        <w:tabs>
          <w:tab w:val="left" w:pos="0"/>
          <w:tab w:val="clear" w:pos="425"/>
        </w:tabs>
        <w:spacing w:before="0" w:beforeAutospacing="0" w:after="0" w:afterAutospacing="0" w:line="276" w:lineRule="auto"/>
        <w:ind w:left="5" w:hanging="5"/>
        <w:jc w:val="both"/>
        <w:rPr>
          <w:sz w:val="28"/>
          <w:szCs w:val="28"/>
        </w:rPr>
      </w:pPr>
      <w:r>
        <w:rPr>
          <w:sz w:val="28"/>
          <w:szCs w:val="28"/>
        </w:rPr>
        <w:t xml:space="preserve">КеАҚ «Семей медицина университетінің» жыл сайынғы 66-шы «Ғылым және денсаулық» атты халықаралық ғылыми-тәжірибелік конференциясында тезис жарияланды. — Тезистер жинағы, 2024 жылғы 11–12 сәуір, </w:t>
      </w:r>
      <w:r>
        <w:rPr>
          <w:sz w:val="28"/>
          <w:szCs w:val="28"/>
          <w:lang w:val="kk-KZ"/>
        </w:rPr>
        <w:t>3</w:t>
      </w:r>
      <w:r>
        <w:rPr>
          <w:sz w:val="28"/>
          <w:szCs w:val="28"/>
        </w:rPr>
        <w:t>4-бет.</w:t>
      </w:r>
    </w:p>
    <w:p w14:paraId="5F9847B3">
      <w:pPr>
        <w:pStyle w:val="12"/>
        <w:numPr>
          <w:ilvl w:val="0"/>
          <w:numId w:val="5"/>
        </w:numPr>
        <w:tabs>
          <w:tab w:val="left" w:pos="0"/>
          <w:tab w:val="clear" w:pos="425"/>
        </w:tabs>
        <w:spacing w:before="0" w:beforeAutospacing="0" w:after="0" w:afterAutospacing="0" w:line="276" w:lineRule="auto"/>
        <w:ind w:left="5" w:hanging="5"/>
        <w:jc w:val="both"/>
        <w:rPr>
          <w:sz w:val="28"/>
          <w:szCs w:val="28"/>
        </w:rPr>
      </w:pPr>
      <w:r>
        <w:rPr>
          <w:sz w:val="28"/>
          <w:szCs w:val="28"/>
        </w:rPr>
        <w:t>Ғылым күніне арналған «Ғылым әлемі және жастар: дәстүр мен инновация» атты жас ғалымдардың, магистранттар мен докторанттардың ғылыми-тәжірибелік конференциясының тезистер жинағында жарияланды. — КеАҚ «Қарағанды медицина университеті», 2023 жыл, 38-бет.</w:t>
      </w:r>
    </w:p>
    <w:p w14:paraId="70037F22">
      <w:pPr>
        <w:pStyle w:val="12"/>
        <w:numPr>
          <w:ilvl w:val="0"/>
          <w:numId w:val="5"/>
        </w:numPr>
        <w:tabs>
          <w:tab w:val="left" w:pos="0"/>
          <w:tab w:val="clear" w:pos="425"/>
        </w:tabs>
        <w:spacing w:before="0" w:beforeAutospacing="0" w:after="0" w:afterAutospacing="0" w:line="276" w:lineRule="auto"/>
        <w:ind w:left="5" w:hanging="5"/>
        <w:jc w:val="both"/>
        <w:rPr>
          <w:sz w:val="28"/>
          <w:szCs w:val="28"/>
        </w:rPr>
      </w:pPr>
      <w:r>
        <w:rPr>
          <w:sz w:val="28"/>
          <w:szCs w:val="28"/>
        </w:rPr>
        <w:t>Зерттеу нәтижелері 2024 жылғы 3 мамырда КеАҚ «Қарағанды медицина университеті» ішкі аурулар кафедрасы және акушерлік, гинекология және перинатология кафедрасының кеңейтілген бірлескен отырысында қаралды (№10 хаттама негізінде).</w:t>
      </w:r>
    </w:p>
    <w:p w14:paraId="513124C6">
      <w:pPr>
        <w:widowControl w:val="0"/>
        <w:tabs>
          <w:tab w:val="left" w:pos="0"/>
        </w:tabs>
        <w:autoSpaceDE w:val="0"/>
        <w:autoSpaceDN w:val="0"/>
        <w:spacing w:after="0" w:line="276" w:lineRule="auto"/>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Зерттеу дизайны мен міндеттері қойылған мақсатқа сәйкес келеді. Нәтижелер жеткілікті бақылаулар санымен, негізгі және бақылау топтарын дұрыс қалыптастырумен, қосу және шығару критерийлерін сақтаумен, сондай–ақ заманауи зертханалық әдістерді қолданумен расталды. Деректерді өңдеудің статистикалық әдістері зерттеу мақсатына сәйкес таңдалды.</w:t>
      </w:r>
    </w:p>
    <w:p w14:paraId="655CAFA5">
      <w:pPr>
        <w:widowControl w:val="0"/>
        <w:autoSpaceDE w:val="0"/>
        <w:autoSpaceDN w:val="0"/>
        <w:spacing w:after="0" w:line="276" w:lineRule="auto"/>
        <w:jc w:val="both"/>
        <w:outlineLvl w:val="0"/>
        <w:rPr>
          <w:rFonts w:ascii="Times New Roman" w:hAnsi="Times New Roman" w:eastAsia="Times New Roman" w:cs="Times New Roman"/>
          <w:b/>
          <w:bCs/>
          <w:sz w:val="28"/>
          <w:szCs w:val="28"/>
          <w:lang w:eastAsia="ru-RU"/>
        </w:rPr>
      </w:pPr>
      <w:r>
        <w:rPr>
          <w:rFonts w:ascii="Times New Roman" w:hAnsi="Times New Roman" w:eastAsia="Times New Roman" w:cs="Times New Roman"/>
          <w:b/>
          <w:bCs/>
          <w:sz w:val="28"/>
          <w:szCs w:val="28"/>
          <w:lang w:eastAsia="ru-RU"/>
        </w:rPr>
        <w:t>Жарияланымдар</w:t>
      </w:r>
    </w:p>
    <w:p w14:paraId="2FCB467A">
      <w:pPr>
        <w:widowControl w:val="0"/>
        <w:autoSpaceDE w:val="0"/>
        <w:autoSpaceDN w:val="0"/>
        <w:spacing w:after="0" w:line="276" w:lineRule="auto"/>
        <w:jc w:val="both"/>
        <w:outlineLvl w:val="0"/>
        <w:rPr>
          <w:rFonts w:ascii="Times New Roman" w:hAnsi="Times New Roman" w:eastAsia="Times New Roman" w:cs="Times New Roman"/>
          <w:b/>
          <w:bCs/>
          <w:sz w:val="28"/>
          <w:szCs w:val="28"/>
          <w:lang w:eastAsia="ru-RU"/>
        </w:rPr>
      </w:pPr>
      <w:r>
        <w:rPr>
          <w:rFonts w:ascii="Times New Roman" w:hAnsi="Times New Roman" w:eastAsia="Times New Roman" w:cs="Times New Roman"/>
          <w:sz w:val="28"/>
          <w:szCs w:val="28"/>
          <w:lang w:val="kk-KZ" w:eastAsia="ru-RU"/>
        </w:rPr>
        <w:t>Диссертациялық жұмыстың негізгі ережелері мен нәтижелері 4 ғылыми мақалада баяндалған, оның ішінде 3 мақала ҚР БҒМ ұсынған журналдарда, ал біреуі Scopus және Clarivate Analytics деректер базасына кіретін басылымда жарияланды.</w:t>
      </w:r>
    </w:p>
    <w:p w14:paraId="245B81A0">
      <w:pPr>
        <w:widowControl w:val="0"/>
        <w:autoSpaceDE w:val="0"/>
        <w:autoSpaceDN w:val="0"/>
        <w:spacing w:after="0" w:line="276" w:lineRule="auto"/>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Алынды:</w:t>
      </w:r>
    </w:p>
    <w:p w14:paraId="65889FA7">
      <w:pPr>
        <w:widowControl w:val="0"/>
        <w:numPr>
          <w:ilvl w:val="0"/>
          <w:numId w:val="6"/>
        </w:numPr>
        <w:tabs>
          <w:tab w:val="clear" w:pos="425"/>
        </w:tabs>
        <w:autoSpaceDE w:val="0"/>
        <w:autoSpaceDN w:val="0"/>
        <w:spacing w:after="0" w:line="276" w:lineRule="auto"/>
        <w:ind w:left="5" w:hanging="5"/>
        <w:jc w:val="both"/>
        <w:outlineLvl w:val="0"/>
        <w:rPr>
          <w:rFonts w:ascii="Times New Roman" w:hAnsi="Times New Roman" w:eastAsia="Calibri" w:cs="Times New Roman"/>
          <w:sz w:val="28"/>
          <w:szCs w:val="28"/>
          <w:lang w:eastAsia="ru-RU"/>
        </w:rPr>
      </w:pPr>
      <w:r>
        <w:rPr>
          <w:rFonts w:ascii="Times New Roman" w:hAnsi="Times New Roman" w:eastAsia="Times New Roman" w:cs="Times New Roman"/>
          <w:sz w:val="28"/>
          <w:szCs w:val="28"/>
          <w:lang w:eastAsia="ru-RU"/>
        </w:rPr>
        <w:t>2025 жылдың 8 қаңтардағы №53238 авторлық құқық куәлігі. Объект атауы: Жүктілікке дейінгі семіздігі бар жүктілерде анемия дамуында  темір алмасу маркерлерінің (гепсидин, эритропоэтин, ферритин) болжамдылық маңыздылығы.</w:t>
      </w:r>
    </w:p>
    <w:p w14:paraId="4561C347">
      <w:pPr>
        <w:widowControl w:val="0"/>
        <w:numPr>
          <w:ilvl w:val="0"/>
          <w:numId w:val="6"/>
        </w:numPr>
        <w:tabs>
          <w:tab w:val="clear" w:pos="425"/>
        </w:tabs>
        <w:autoSpaceDE w:val="0"/>
        <w:autoSpaceDN w:val="0"/>
        <w:spacing w:after="0" w:line="276" w:lineRule="auto"/>
        <w:ind w:left="5" w:hanging="5"/>
        <w:jc w:val="both"/>
        <w:outlineLvl w:val="0"/>
        <w:rPr>
          <w:rFonts w:ascii="Times New Roman" w:hAnsi="Times New Roman" w:eastAsia="Calibri" w:cs="Times New Roman"/>
          <w:sz w:val="28"/>
          <w:szCs w:val="28"/>
          <w:lang w:eastAsia="ru-RU"/>
        </w:rPr>
      </w:pPr>
      <w:r>
        <w:rPr>
          <w:rFonts w:ascii="Times New Roman" w:hAnsi="Times New Roman" w:eastAsia="Times New Roman" w:cs="Times New Roman"/>
          <w:sz w:val="28"/>
          <w:szCs w:val="28"/>
          <w:lang w:eastAsia="ru-RU"/>
        </w:rPr>
        <w:t>2025 жылдың 15 қаңтардағы №53486 авторлық құқық куәлігі. Объект атауы: Жүктілікке дейінгі семіздігі бар жүктілерде анемия дамуында қабыну медиаторларының (Интерлейкин–6, C–реактивті ақуыз) маркерлерінің болжамдылық маңыздылығы.</w:t>
      </w:r>
    </w:p>
    <w:p w14:paraId="528D4D10">
      <w:pPr>
        <w:widowControl w:val="0"/>
        <w:numPr>
          <w:ilvl w:val="0"/>
          <w:numId w:val="6"/>
        </w:numPr>
        <w:tabs>
          <w:tab w:val="clear" w:pos="425"/>
        </w:tabs>
        <w:autoSpaceDE w:val="0"/>
        <w:autoSpaceDN w:val="0"/>
        <w:spacing w:after="0" w:line="276" w:lineRule="auto"/>
        <w:ind w:left="5" w:hanging="5"/>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2025 жылдың 20 қаңтардағы №53626 авторлық құқық куәлігі. Объект атауы: </w:t>
      </w:r>
      <w:r>
        <w:rPr>
          <w:rFonts w:ascii="Times New Roman" w:hAnsi="Times New Roman" w:eastAsia="SimSun" w:cs="Times New Roman"/>
          <w:color w:val="000000"/>
          <w:sz w:val="28"/>
          <w:szCs w:val="28"/>
          <w:lang w:eastAsia="ru-RU"/>
        </w:rPr>
        <w:t>Жоғары дене салмағы индексінің төмен дәрежелі қабыну үрдісі арқылы анемия дамытуының патогенетикалық алгоритмі.</w:t>
      </w:r>
    </w:p>
    <w:p w14:paraId="11D24997">
      <w:pPr>
        <w:widowControl w:val="0"/>
        <w:autoSpaceDE w:val="0"/>
        <w:autoSpaceDN w:val="0"/>
        <w:spacing w:after="0" w:line="276" w:lineRule="auto"/>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b/>
          <w:bCs/>
          <w:sz w:val="28"/>
          <w:szCs w:val="28"/>
          <w:lang w:eastAsia="ru-RU"/>
        </w:rPr>
        <w:t>Диссертацияның құрылымы мен көлемі</w:t>
      </w:r>
      <w:r>
        <w:rPr>
          <w:rFonts w:ascii="Times New Roman" w:hAnsi="Times New Roman" w:eastAsia="Times New Roman" w:cs="Times New Roman"/>
          <w:sz w:val="28"/>
          <w:szCs w:val="28"/>
          <w:lang w:eastAsia="ru-RU"/>
        </w:rPr>
        <w:t xml:space="preserve"> </w:t>
      </w:r>
    </w:p>
    <w:p w14:paraId="4B5DD31D">
      <w:pPr>
        <w:widowControl w:val="0"/>
        <w:autoSpaceDE w:val="0"/>
        <w:autoSpaceDN w:val="0"/>
        <w:spacing w:after="0" w:line="276" w:lineRule="auto"/>
        <w:jc w:val="both"/>
        <w:outlineLvl w:val="0"/>
        <w:rPr>
          <w:rFonts w:ascii="Times New Roman" w:hAnsi="Times New Roman" w:eastAsia="Times New Roman" w:cs="Times New Roman"/>
          <w:b/>
          <w:sz w:val="28"/>
          <w:szCs w:val="28"/>
          <w:lang w:eastAsia="ru-RU"/>
        </w:rPr>
      </w:pPr>
      <w:r>
        <w:rPr>
          <w:rFonts w:ascii="Times New Roman" w:hAnsi="Times New Roman" w:eastAsia="Times New Roman" w:cs="Times New Roman"/>
          <w:sz w:val="28"/>
          <w:szCs w:val="28"/>
          <w:lang w:eastAsia="ru-RU"/>
        </w:rPr>
        <w:t xml:space="preserve">Диссертация </w:t>
      </w:r>
      <w:r>
        <w:rPr>
          <w:rFonts w:ascii="Times New Roman" w:hAnsi="Times New Roman" w:cs="Times New Roman"/>
          <w:sz w:val="28"/>
          <w:szCs w:val="28"/>
          <w:lang w:eastAsia="ru-RU"/>
        </w:rPr>
        <w:t>1</w:t>
      </w:r>
      <w:r>
        <w:rPr>
          <w:rFonts w:ascii="Times New Roman" w:hAnsi="Times New Roman" w:cs="Times New Roman"/>
          <w:sz w:val="28"/>
          <w:szCs w:val="28"/>
          <w:lang w:val="kk-KZ" w:eastAsia="ru-RU"/>
        </w:rPr>
        <w:t>10</w:t>
      </w:r>
      <w:r>
        <w:rPr>
          <w:rFonts w:ascii="Times New Roman" w:hAnsi="Times New Roman" w:eastAsia="Times New Roman" w:cs="Times New Roman"/>
          <w:sz w:val="28"/>
          <w:szCs w:val="28"/>
          <w:shd w:val="clear" w:color="auto" w:fill="FFFFFF" w:themeFill="background1"/>
          <w:lang w:eastAsia="ru-RU"/>
        </w:rPr>
        <w:t xml:space="preserve"> </w:t>
      </w:r>
      <w:r>
        <w:rPr>
          <w:rFonts w:ascii="Times New Roman" w:hAnsi="Times New Roman" w:eastAsia="Times New Roman" w:cs="Times New Roman"/>
          <w:sz w:val="28"/>
          <w:szCs w:val="28"/>
          <w:lang w:eastAsia="ru-RU"/>
        </w:rPr>
        <w:t xml:space="preserve">беттен тұрады, кіріспе, әдебиетке шолу, зерттеу материалдары мен әдістері, нәтижелерді талқылау, қорытындылар, пайдаланылған әдебиеттер тізімі (193 дереккөзі) және </w:t>
      </w:r>
      <w:r>
        <w:rPr>
          <w:rFonts w:ascii="Times New Roman" w:hAnsi="Times New Roman" w:eastAsia="Times New Roman" w:cs="Times New Roman"/>
          <w:sz w:val="28"/>
          <w:szCs w:val="28"/>
          <w:lang w:val="kk-KZ" w:eastAsia="ru-RU"/>
        </w:rPr>
        <w:t>4</w:t>
      </w:r>
      <w:r>
        <w:rPr>
          <w:rFonts w:ascii="Times New Roman" w:hAnsi="Times New Roman" w:eastAsia="Times New Roman" w:cs="Times New Roman"/>
          <w:sz w:val="28"/>
          <w:szCs w:val="28"/>
          <w:lang w:eastAsia="ru-RU"/>
        </w:rPr>
        <w:t xml:space="preserve"> қосымшаны қамтиды. Нәтижелер 20 сурет пен 14 кестеде ұсынылған</w:t>
      </w:r>
      <w:r>
        <w:rPr>
          <w:rFonts w:ascii="Times New Roman" w:hAnsi="Times New Roman" w:eastAsia="Times New Roman" w:cs="Times New Roman"/>
          <w:b/>
          <w:sz w:val="28"/>
          <w:szCs w:val="28"/>
          <w:lang w:eastAsia="ru-RU"/>
        </w:rPr>
        <w:t>.</w:t>
      </w:r>
    </w:p>
    <w:p w14:paraId="6978CE48">
      <w:pPr>
        <w:widowControl w:val="0"/>
        <w:autoSpaceDE w:val="0"/>
        <w:autoSpaceDN w:val="0"/>
        <w:spacing w:after="0" w:line="276" w:lineRule="auto"/>
        <w:jc w:val="both"/>
        <w:outlineLvl w:val="0"/>
        <w:rPr>
          <w:rFonts w:ascii="Times New Roman" w:hAnsi="Times New Roman" w:eastAsia="Times New Roman" w:cs="Times New Roman"/>
          <w:b/>
          <w:sz w:val="28"/>
          <w:szCs w:val="28"/>
          <w:lang w:eastAsia="ru-RU"/>
        </w:rPr>
      </w:pPr>
    </w:p>
    <w:p w14:paraId="5A8E9CB0">
      <w:pPr>
        <w:widowControl w:val="0"/>
        <w:autoSpaceDE w:val="0"/>
        <w:autoSpaceDN w:val="0"/>
        <w:spacing w:after="0" w:line="276" w:lineRule="auto"/>
        <w:jc w:val="both"/>
        <w:outlineLvl w:val="0"/>
        <w:rPr>
          <w:rFonts w:ascii="Times New Roman" w:hAnsi="Times New Roman" w:eastAsia="Times New Roman" w:cs="Times New Roman"/>
          <w:b/>
          <w:sz w:val="28"/>
          <w:szCs w:val="28"/>
          <w:lang w:eastAsia="ru-RU"/>
        </w:rPr>
      </w:pPr>
    </w:p>
    <w:p w14:paraId="330528FD">
      <w:pPr>
        <w:widowControl w:val="0"/>
        <w:autoSpaceDE w:val="0"/>
        <w:autoSpaceDN w:val="0"/>
        <w:spacing w:after="0" w:line="276" w:lineRule="auto"/>
        <w:jc w:val="both"/>
        <w:outlineLvl w:val="0"/>
        <w:rPr>
          <w:rFonts w:ascii="Times New Roman" w:hAnsi="Times New Roman" w:eastAsia="Times New Roman" w:cs="Times New Roman"/>
          <w:b/>
          <w:sz w:val="28"/>
          <w:szCs w:val="28"/>
          <w:lang w:eastAsia="ru-RU"/>
        </w:rPr>
      </w:pPr>
    </w:p>
    <w:p w14:paraId="029A8AD0">
      <w:pPr>
        <w:widowControl w:val="0"/>
        <w:autoSpaceDE w:val="0"/>
        <w:autoSpaceDN w:val="0"/>
        <w:spacing w:after="0" w:line="276" w:lineRule="auto"/>
        <w:jc w:val="both"/>
        <w:outlineLvl w:val="0"/>
        <w:rPr>
          <w:rFonts w:ascii="Times New Roman" w:hAnsi="Times New Roman" w:eastAsia="Times New Roman" w:cs="Times New Roman"/>
          <w:b/>
          <w:sz w:val="28"/>
          <w:szCs w:val="28"/>
          <w:lang w:eastAsia="ru-RU"/>
        </w:rPr>
      </w:pPr>
    </w:p>
    <w:p w14:paraId="67B3E37D">
      <w:pPr>
        <w:widowControl w:val="0"/>
        <w:autoSpaceDE w:val="0"/>
        <w:autoSpaceDN w:val="0"/>
        <w:spacing w:after="0" w:line="276" w:lineRule="auto"/>
        <w:jc w:val="both"/>
        <w:outlineLvl w:val="0"/>
        <w:rPr>
          <w:rFonts w:ascii="Times New Roman" w:hAnsi="Times New Roman" w:eastAsia="Times New Roman" w:cs="Times New Roman"/>
          <w:b/>
          <w:sz w:val="28"/>
          <w:szCs w:val="28"/>
          <w:lang w:eastAsia="ru-RU"/>
        </w:rPr>
      </w:pPr>
    </w:p>
    <w:p w14:paraId="45C82CD1">
      <w:pPr>
        <w:widowControl w:val="0"/>
        <w:autoSpaceDE w:val="0"/>
        <w:autoSpaceDN w:val="0"/>
        <w:spacing w:after="0" w:line="276" w:lineRule="auto"/>
        <w:jc w:val="both"/>
        <w:outlineLvl w:val="0"/>
        <w:rPr>
          <w:rFonts w:ascii="Times New Roman" w:hAnsi="Times New Roman" w:eastAsia="Times New Roman" w:cs="Times New Roman"/>
          <w:b/>
          <w:sz w:val="28"/>
          <w:szCs w:val="28"/>
          <w:lang w:eastAsia="ru-RU"/>
        </w:rPr>
      </w:pPr>
    </w:p>
    <w:p w14:paraId="3B3777BD">
      <w:pPr>
        <w:widowControl w:val="0"/>
        <w:autoSpaceDE w:val="0"/>
        <w:autoSpaceDN w:val="0"/>
        <w:spacing w:after="0" w:line="276" w:lineRule="auto"/>
        <w:jc w:val="both"/>
        <w:outlineLvl w:val="0"/>
        <w:rPr>
          <w:rFonts w:ascii="Times New Roman" w:hAnsi="Times New Roman" w:eastAsia="Times New Roman" w:cs="Times New Roman"/>
          <w:b/>
          <w:sz w:val="28"/>
          <w:szCs w:val="28"/>
          <w:lang w:eastAsia="ru-RU"/>
        </w:rPr>
      </w:pPr>
    </w:p>
    <w:p w14:paraId="63B38972">
      <w:pPr>
        <w:widowControl w:val="0"/>
        <w:autoSpaceDE w:val="0"/>
        <w:autoSpaceDN w:val="0"/>
        <w:spacing w:after="0" w:line="276" w:lineRule="auto"/>
        <w:jc w:val="both"/>
        <w:outlineLvl w:val="0"/>
        <w:rPr>
          <w:rFonts w:ascii="Times New Roman" w:hAnsi="Times New Roman" w:eastAsia="Times New Roman" w:cs="Times New Roman"/>
          <w:b/>
          <w:sz w:val="28"/>
          <w:szCs w:val="28"/>
          <w:lang w:eastAsia="ru-RU"/>
        </w:rPr>
      </w:pPr>
    </w:p>
    <w:p w14:paraId="518E69D0">
      <w:pPr>
        <w:widowControl w:val="0"/>
        <w:autoSpaceDE w:val="0"/>
        <w:autoSpaceDN w:val="0"/>
        <w:spacing w:after="0" w:line="276" w:lineRule="auto"/>
        <w:jc w:val="both"/>
        <w:outlineLvl w:val="0"/>
        <w:rPr>
          <w:rFonts w:ascii="Times New Roman" w:hAnsi="Times New Roman" w:eastAsia="Times New Roman" w:cs="Times New Roman"/>
          <w:b/>
          <w:sz w:val="28"/>
          <w:szCs w:val="28"/>
          <w:lang w:eastAsia="ru-RU"/>
        </w:rPr>
      </w:pPr>
    </w:p>
    <w:p w14:paraId="25A1816C">
      <w:pPr>
        <w:widowControl w:val="0"/>
        <w:autoSpaceDE w:val="0"/>
        <w:autoSpaceDN w:val="0"/>
        <w:spacing w:after="0" w:line="276" w:lineRule="auto"/>
        <w:jc w:val="both"/>
        <w:outlineLvl w:val="0"/>
        <w:rPr>
          <w:rFonts w:ascii="Times New Roman" w:hAnsi="Times New Roman" w:eastAsia="Times New Roman" w:cs="Times New Roman"/>
          <w:b/>
          <w:sz w:val="28"/>
          <w:szCs w:val="28"/>
          <w:lang w:eastAsia="ru-RU"/>
        </w:rPr>
      </w:pPr>
    </w:p>
    <w:p w14:paraId="181B1E74">
      <w:pPr>
        <w:widowControl w:val="0"/>
        <w:autoSpaceDE w:val="0"/>
        <w:autoSpaceDN w:val="0"/>
        <w:spacing w:after="0" w:line="276" w:lineRule="auto"/>
        <w:jc w:val="both"/>
        <w:outlineLvl w:val="0"/>
        <w:rPr>
          <w:rFonts w:ascii="Times New Roman" w:hAnsi="Times New Roman" w:eastAsia="Times New Roman" w:cs="Times New Roman"/>
          <w:b/>
          <w:sz w:val="28"/>
          <w:szCs w:val="28"/>
          <w:lang w:eastAsia="ru-RU"/>
        </w:rPr>
      </w:pPr>
    </w:p>
    <w:p w14:paraId="0C3B70ED">
      <w:pPr>
        <w:widowControl w:val="0"/>
        <w:autoSpaceDE w:val="0"/>
        <w:autoSpaceDN w:val="0"/>
        <w:spacing w:after="0" w:line="276" w:lineRule="auto"/>
        <w:jc w:val="both"/>
        <w:outlineLvl w:val="0"/>
        <w:rPr>
          <w:rFonts w:ascii="Times New Roman" w:hAnsi="Times New Roman" w:eastAsia="Times New Roman" w:cs="Times New Roman"/>
          <w:b/>
          <w:sz w:val="28"/>
          <w:szCs w:val="28"/>
          <w:lang w:eastAsia="ru-RU"/>
        </w:rPr>
      </w:pPr>
    </w:p>
    <w:p w14:paraId="4C4D06D2">
      <w:pPr>
        <w:widowControl w:val="0"/>
        <w:autoSpaceDE w:val="0"/>
        <w:autoSpaceDN w:val="0"/>
        <w:spacing w:after="0" w:line="276" w:lineRule="auto"/>
        <w:jc w:val="both"/>
        <w:outlineLvl w:val="0"/>
        <w:rPr>
          <w:rFonts w:ascii="Times New Roman" w:hAnsi="Times New Roman" w:eastAsia="Times New Roman" w:cs="Times New Roman"/>
          <w:b/>
          <w:sz w:val="28"/>
          <w:szCs w:val="28"/>
          <w:lang w:eastAsia="ru-RU"/>
        </w:rPr>
      </w:pPr>
    </w:p>
    <w:p w14:paraId="2C1DE16F">
      <w:pPr>
        <w:widowControl w:val="0"/>
        <w:autoSpaceDE w:val="0"/>
        <w:autoSpaceDN w:val="0"/>
        <w:spacing w:after="0" w:line="276" w:lineRule="auto"/>
        <w:ind w:left="275" w:leftChars="125" w:firstLine="709"/>
        <w:jc w:val="center"/>
        <w:outlineLvl w:val="0"/>
        <w:rPr>
          <w:rFonts w:ascii="Times New Roman" w:hAnsi="Times New Roman" w:eastAsia="Times New Roman" w:cs="Times New Roman"/>
          <w:sz w:val="28"/>
          <w:szCs w:val="28"/>
          <w:lang w:eastAsia="ru-RU"/>
        </w:rPr>
      </w:pPr>
      <w:r>
        <w:rPr>
          <w:rFonts w:ascii="Times New Roman" w:hAnsi="Times New Roman" w:eastAsia="Times New Roman" w:cs="Times New Roman"/>
          <w:b/>
          <w:bCs/>
          <w:kern w:val="36"/>
          <w:sz w:val="28"/>
          <w:szCs w:val="28"/>
          <w:lang w:eastAsia="ru-RU"/>
        </w:rPr>
        <w:t>I БӨЛІМ. ӘДЕБИ ШОЛУ</w:t>
      </w:r>
    </w:p>
    <w:p w14:paraId="115E1C78">
      <w:pPr>
        <w:widowControl w:val="0"/>
        <w:autoSpaceDE w:val="0"/>
        <w:autoSpaceDN w:val="0"/>
        <w:spacing w:after="0" w:line="276" w:lineRule="auto"/>
        <w:ind w:left="275" w:leftChars="125" w:firstLine="709"/>
        <w:jc w:val="center"/>
        <w:outlineLvl w:val="0"/>
        <w:rPr>
          <w:rFonts w:ascii="Times New Roman" w:hAnsi="Times New Roman" w:eastAsia="Times New Roman" w:cs="Times New Roman"/>
          <w:b/>
          <w:bCs/>
          <w:kern w:val="36"/>
          <w:sz w:val="28"/>
          <w:szCs w:val="28"/>
          <w:lang w:eastAsia="ru-RU"/>
        </w:rPr>
      </w:pPr>
    </w:p>
    <w:p w14:paraId="6276E376">
      <w:pPr>
        <w:widowControl w:val="0"/>
        <w:numPr>
          <w:ilvl w:val="1"/>
          <w:numId w:val="7"/>
        </w:numPr>
        <w:autoSpaceDE w:val="0"/>
        <w:autoSpaceDN w:val="0"/>
        <w:spacing w:after="0" w:line="276" w:lineRule="auto"/>
        <w:ind w:left="275" w:leftChars="125" w:firstLine="709"/>
        <w:outlineLvl w:val="0"/>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eastAsia="ru-RU"/>
        </w:rPr>
        <w:t>Жүктілердегі анемия жайында негізгі түсініктер</w:t>
      </w:r>
    </w:p>
    <w:p w14:paraId="060104BB">
      <w:pPr>
        <w:widowControl w:val="0"/>
        <w:autoSpaceDE w:val="0"/>
        <w:autoSpaceDN w:val="0"/>
        <w:spacing w:after="0" w:line="276" w:lineRule="auto"/>
        <w:ind w:firstLine="709"/>
        <w:jc w:val="both"/>
        <w:outlineLvl w:val="0"/>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eastAsia="ru-RU"/>
        </w:rPr>
        <w:t xml:space="preserve"> </w:t>
      </w:r>
    </w:p>
    <w:p w14:paraId="701F2BC2">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Анемия — гемоглобин концентрациясының төмендігімен сипатталатын жағдай. Анемияның көптеген түрлері бар, олардың ішінде темір тапшылық анемиясы (</w:t>
      </w:r>
      <w:r>
        <w:rPr>
          <w:rFonts w:ascii="Times New Roman" w:hAnsi="Times New Roman" w:eastAsia="Times New Roman" w:cs="Times New Roman"/>
          <w:sz w:val="28"/>
          <w:szCs w:val="28"/>
          <w:lang w:val="kk-KZ" w:eastAsia="ru-RU"/>
        </w:rPr>
        <w:t>ТТА</w:t>
      </w:r>
      <w:r>
        <w:rPr>
          <w:rFonts w:ascii="Times New Roman" w:hAnsi="Times New Roman" w:eastAsia="Times New Roman" w:cs="Times New Roman"/>
          <w:sz w:val="28"/>
          <w:szCs w:val="28"/>
          <w:lang w:eastAsia="ru-RU"/>
        </w:rPr>
        <w:t>) жүкті әйелдер арасында жиі кездеседі, шамамен 50% құрайды [28]. CDC және ДДСҰ деректеріне сүйенсек, жүкті әйелдерде анемия бірінші және үшінші триместрлерде Hb деңгейі &lt;110 г/л және гематокрит &lt;33%, ал екінші триместрде Hb &lt;105 г/л және гематокрит &lt;32% көрсеткіштерінде анықталады. Ауыр анемияның табалдырығы жүкті әйелдер үшін &lt;70 г/л, ал жүкті емес әйелдер үшін &lt;80 г/л деп белгіленеді [3,29].</w:t>
      </w:r>
    </w:p>
    <w:p w14:paraId="76DEA9A9">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Жүктілік кезінде анемияның таралуы дүниежүзінде 38% (95% сенімділік аралығы) деңгейінде, яғни 32 миллион әйел анемиядан зардап шегеді [29]. Қазақстанда Денсаулық сақтау министрлігінің мәліметі бойынша, 2020 жылы ТТА диагнозы қойылған жүкті әйелдердің үлесі 27% құраған, бұл 2007 жылғы 41,7%–дан едәуір төмендеген [30]. 2011 жылы жүкті әйелдер арасындағы ферритиннің төмен деңгейі 62,9% болса, жүкті емес әйелдерде бұл көрсеткіш 43,8%–ға тең. Ферритині төмен әйелдердің 54,5%–ына ТТА диагнозы қойылды [31].</w:t>
      </w:r>
    </w:p>
    <w:p w14:paraId="571F9FB8">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Жүктілік барысында темірге деген қажеттілік артады. Бұл бірінші триместрде қандағы темір деңгейінің төмендеуімен басталып, үшінші триместрге қарай ұрықтың өсуіне, ана эритроциттерінің көбеюіне байланысты үш есеге ұлғаяды [32, 33]. Қан сарысуының көлемі бірінші триместрдің соңында артып, екінші және үшінші триместрлерде қызыл қан жасушаларының үлесін ұлғайтады. Жалпы жүктілік кезінде қан көлемі 50%–ға, ал эритроциттер массасы 35%–ға дейін артады [34]. Кейбір зерттеулер бұл өсімді ТТ-</w:t>
      </w:r>
      <w:r>
        <w:rPr>
          <w:rFonts w:ascii="Times New Roman" w:hAnsi="Times New Roman" w:eastAsia="Times New Roman" w:cs="Times New Roman"/>
          <w:sz w:val="28"/>
          <w:szCs w:val="28"/>
          <w:lang w:val="kk-KZ" w:eastAsia="ru-RU"/>
        </w:rPr>
        <w:t>ғ</w:t>
      </w:r>
      <w:r>
        <w:rPr>
          <w:rFonts w:ascii="Times New Roman" w:hAnsi="Times New Roman" w:eastAsia="Times New Roman" w:cs="Times New Roman"/>
          <w:sz w:val="28"/>
          <w:szCs w:val="28"/>
          <w:lang w:eastAsia="ru-RU"/>
        </w:rPr>
        <w:t>ымен байланыстырады, әсіресе темір қоспаларын қабылдаған жағдайда гемодилюцияның төмендегені байқалады [35,36].</w:t>
      </w:r>
    </w:p>
    <w:p w14:paraId="733F4243">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ТТА жүктілік және босанудан кейінгі кезеңдерде түрлі асқынулар тудырады. Анемия жүктілік кезінде қағанақ суының мерзімінен бұрын жарылуы, ұрықтың өсу тежелуі, гипоксия, мерзімінен бұрын босану, преэклампсия және эклампсия сияқты асқынуларға себеп болуы мүмкін. Босанудан кейінгі кезеңде инфекциялық аурулар мен жатырдың қабынуының ықтималдығы жоғарылайды [28, 37]. Анемия сонымен қатар ананың шаршауы мен физикалық белсенділігінің төмендеуіне, бас ауруы мен ұйқышылдыққа, жұмысқа қабілеттіліктің төмендеуіне алып келеді [38, 39, 40]. Жаңа туған нәрестелерде төмен салмақ, анемия қаупі, нейродамудың бұзылуы және кардиометаболикалық асқынулар сияқты жағымсыз әсерлер байқалуы мүмкін [41, 42].</w:t>
      </w:r>
    </w:p>
    <w:p w14:paraId="5CDDFE2C">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Бұл аурудың негізгі себебі — ағзаға темірдің аз түсуі, сондықтан темірдің қосымша қабылдануы мен азық–түліктің темірмен байытылуы алдын алу шараларының негізін құрайды [43]. Дегенмен, анемияға әсер ететін басқа факторлар, мысалы, семіздік те назардан тыс қалмауы тиіс. Қазақстанда 38,6% репродуктивті жастағы әйелдер артық салмаққа ие [44].</w:t>
      </w:r>
    </w:p>
    <w:p w14:paraId="4B6CC54F">
      <w:pPr>
        <w:widowControl w:val="0"/>
        <w:autoSpaceDE w:val="0"/>
        <w:autoSpaceDN w:val="0"/>
        <w:spacing w:after="0" w:line="276" w:lineRule="auto"/>
        <w:ind w:firstLine="709"/>
        <w:jc w:val="both"/>
        <w:outlineLvl w:val="0"/>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eastAsia="ru-RU"/>
        </w:rPr>
        <w:t xml:space="preserve"> </w:t>
      </w:r>
    </w:p>
    <w:p w14:paraId="26DA540C">
      <w:pPr>
        <w:widowControl w:val="0"/>
        <w:autoSpaceDE w:val="0"/>
        <w:autoSpaceDN w:val="0"/>
        <w:spacing w:after="0" w:line="276" w:lineRule="auto"/>
        <w:ind w:firstLine="709"/>
        <w:jc w:val="both"/>
        <w:outlineLvl w:val="0"/>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eastAsia="ru-RU"/>
        </w:rPr>
        <w:t>1.2. Жүктілік кезіндегі семіздік патологияның және ықтимал асқынулардың қауіп факторы ретінде</w:t>
      </w:r>
    </w:p>
    <w:p w14:paraId="20D71CDD">
      <w:pPr>
        <w:widowControl w:val="0"/>
        <w:autoSpaceDE w:val="0"/>
        <w:autoSpaceDN w:val="0"/>
        <w:spacing w:after="0" w:line="276" w:lineRule="auto"/>
        <w:ind w:firstLine="709"/>
        <w:jc w:val="both"/>
        <w:outlineLvl w:val="0"/>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eastAsia="ru-RU"/>
        </w:rPr>
        <w:t xml:space="preserve"> </w:t>
      </w:r>
    </w:p>
    <w:p w14:paraId="777B0F37">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Семіздік халық денсаулығына байланысты маңызды мәселелердің бірі болып, таралуы артып келеді [45, 46]. Соңғы үш онжылдықта семіздік екі есеге өсті [47]. Әлеуметтік–экономикалық жүк болып саналатын семіздік индустриясы дамыған елдерде ғана емес, дамушы елдерде де жиі кездеседі, мұнда артық калориялы тағамның қолжетімділігі мен өмір салтының төмен деңгейімен сипатталады [48].</w:t>
      </w:r>
    </w:p>
    <w:p w14:paraId="4703B561">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Дене салмағының индекс</w:t>
      </w:r>
      <w:r>
        <w:rPr>
          <w:rFonts w:ascii="Times New Roman" w:hAnsi="Times New Roman" w:eastAsia="Times New Roman" w:cs="Times New Roman"/>
          <w:sz w:val="28"/>
          <w:szCs w:val="28"/>
          <w:lang w:val="kk-KZ" w:eastAsia="ru-RU"/>
        </w:rPr>
        <w:t>і</w:t>
      </w:r>
      <w:r>
        <w:rPr>
          <w:rFonts w:ascii="Times New Roman" w:hAnsi="Times New Roman" w:eastAsia="Times New Roman" w:cs="Times New Roman"/>
          <w:sz w:val="28"/>
          <w:szCs w:val="28"/>
          <w:lang w:eastAsia="ru-RU"/>
        </w:rPr>
        <w:t xml:space="preserve"> (ДСИ) &gt;30 кг/м² болғанда семіздік деп танылып, ауру ретінде қарастырылады. Жүкті әйелдерде ДСИ бойынша классификация келесі кесте–1 берілген [49]:</w:t>
      </w:r>
    </w:p>
    <w:p w14:paraId="74522293">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 </w:t>
      </w:r>
    </w:p>
    <w:p w14:paraId="0E056787">
      <w:pPr>
        <w:widowControl w:val="0"/>
        <w:autoSpaceDE w:val="0"/>
        <w:autoSpaceDN w:val="0"/>
        <w:spacing w:after="0" w:line="276" w:lineRule="auto"/>
        <w:ind w:firstLine="709"/>
        <w:jc w:val="both"/>
        <w:outlineLvl w:val="0"/>
        <w:rPr>
          <w:rFonts w:ascii="Times New Roman" w:hAnsi="Times New Roman" w:eastAsia="Times New Roman" w:cs="Times New Roman"/>
          <w:iCs/>
          <w:sz w:val="28"/>
          <w:szCs w:val="28"/>
          <w:lang w:eastAsia="ru-RU"/>
        </w:rPr>
      </w:pPr>
      <w:r>
        <w:rPr>
          <w:rFonts w:ascii="Times New Roman" w:hAnsi="Times New Roman" w:eastAsia="Times New Roman" w:cs="Times New Roman"/>
          <w:iCs/>
          <w:sz w:val="28"/>
          <w:szCs w:val="28"/>
          <w:lang w:eastAsia="ru-RU"/>
        </w:rPr>
        <w:t>Кесте – 1. Семіздіктің жіктемесі</w:t>
      </w:r>
    </w:p>
    <w:p w14:paraId="00615EEB">
      <w:pPr>
        <w:widowControl w:val="0"/>
        <w:autoSpaceDE w:val="0"/>
        <w:autoSpaceDN w:val="0"/>
        <w:spacing w:after="0" w:line="276" w:lineRule="auto"/>
        <w:ind w:firstLine="709"/>
        <w:jc w:val="both"/>
        <w:outlineLvl w:val="0"/>
        <w:rPr>
          <w:rFonts w:ascii="Times New Roman" w:hAnsi="Times New Roman" w:eastAsia="Times New Roman" w:cs="Times New Roman"/>
          <w:iCs/>
          <w:sz w:val="28"/>
          <w:szCs w:val="28"/>
          <w:lang w:eastAsia="ru-RU"/>
        </w:rPr>
      </w:pPr>
    </w:p>
    <w:tbl>
      <w:tblPr>
        <w:tblStyle w:val="13"/>
        <w:tblW w:w="0" w:type="auto"/>
        <w:tblInd w:w="0" w:type="dxa"/>
        <w:tblLayout w:type="autofit"/>
        <w:tblCellMar>
          <w:top w:w="15" w:type="dxa"/>
          <w:left w:w="15" w:type="dxa"/>
          <w:bottom w:w="15" w:type="dxa"/>
          <w:right w:w="15" w:type="dxa"/>
        </w:tblCellMar>
      </w:tblPr>
      <w:tblGrid>
        <w:gridCol w:w="4665"/>
        <w:gridCol w:w="4605"/>
      </w:tblGrid>
      <w:tr w14:paraId="65576104">
        <w:tblPrEx>
          <w:tblCellMar>
            <w:top w:w="15" w:type="dxa"/>
            <w:left w:w="15" w:type="dxa"/>
            <w:bottom w:w="15" w:type="dxa"/>
            <w:right w:w="15" w:type="dxa"/>
          </w:tblCellMar>
        </w:tblPrEx>
        <w:tc>
          <w:tcPr>
            <w:tcW w:w="4665" w:type="dxa"/>
            <w:tcBorders>
              <w:top w:val="outset" w:color="auto" w:sz="6" w:space="0"/>
              <w:left w:val="outset" w:color="auto" w:sz="6" w:space="0"/>
              <w:bottom w:val="outset" w:color="auto" w:sz="6" w:space="0"/>
              <w:right w:val="outset" w:color="auto" w:sz="6" w:space="0"/>
            </w:tcBorders>
          </w:tcPr>
          <w:p w14:paraId="32830BAE">
            <w:pPr>
              <w:widowControl w:val="0"/>
              <w:autoSpaceDE w:val="0"/>
              <w:autoSpaceDN w:val="0"/>
              <w:spacing w:before="100" w:beforeAutospacing="0" w:after="0" w:afterAutospacing="0" w:line="276" w:lineRule="auto"/>
              <w:jc w:val="both"/>
              <w:outlineLvl w:val="0"/>
              <w:rPr>
                <w:rFonts w:ascii="Times New Roman" w:hAnsi="Times New Roman" w:eastAsia="Times New Roman" w:cs="Times New Roman"/>
                <w:b/>
                <w:bCs/>
                <w:sz w:val="28"/>
                <w:szCs w:val="28"/>
                <w:lang w:val="en-US" w:eastAsia="ru-RU"/>
              </w:rPr>
            </w:pPr>
            <w:r>
              <w:rPr>
                <w:rFonts w:ascii="Times New Roman" w:hAnsi="Times New Roman" w:eastAsia="Times New Roman" w:cs="Times New Roman"/>
                <w:b/>
                <w:bCs/>
                <w:sz w:val="28"/>
                <w:szCs w:val="28"/>
                <w:lang w:val="en-US" w:eastAsia="ru-RU"/>
              </w:rPr>
              <w:t>Жіктемесі</w:t>
            </w:r>
          </w:p>
        </w:tc>
        <w:tc>
          <w:tcPr>
            <w:tcW w:w="4605" w:type="dxa"/>
            <w:tcBorders>
              <w:top w:val="outset" w:color="auto" w:sz="6" w:space="0"/>
              <w:left w:val="outset" w:color="auto" w:sz="6" w:space="0"/>
              <w:bottom w:val="outset" w:color="auto" w:sz="6" w:space="0"/>
              <w:right w:val="outset" w:color="auto" w:sz="6" w:space="0"/>
            </w:tcBorders>
          </w:tcPr>
          <w:p w14:paraId="6863CF6D">
            <w:pPr>
              <w:widowControl w:val="0"/>
              <w:autoSpaceDE w:val="0"/>
              <w:autoSpaceDN w:val="0"/>
              <w:spacing w:before="100" w:beforeAutospacing="0" w:after="0" w:afterAutospacing="0" w:line="276" w:lineRule="auto"/>
              <w:jc w:val="both"/>
              <w:outlineLvl w:val="0"/>
              <w:rPr>
                <w:rFonts w:ascii="Times New Roman" w:hAnsi="Times New Roman" w:eastAsia="Times New Roman" w:cs="Times New Roman"/>
                <w:b/>
                <w:bCs/>
                <w:sz w:val="28"/>
                <w:szCs w:val="28"/>
                <w:lang w:val="en-US" w:eastAsia="ru-RU"/>
              </w:rPr>
            </w:pPr>
            <w:r>
              <w:rPr>
                <w:rFonts w:ascii="Times New Roman" w:hAnsi="Times New Roman" w:eastAsia="Times New Roman" w:cs="Times New Roman"/>
                <w:b/>
                <w:bCs/>
                <w:sz w:val="28"/>
                <w:szCs w:val="28"/>
                <w:lang w:val="en-US" w:eastAsia="ru-RU"/>
              </w:rPr>
              <w:t>Жүктілікке дейінгі ДСИ</w:t>
            </w:r>
          </w:p>
          <w:p w14:paraId="5819802F">
            <w:pPr>
              <w:widowControl w:val="0"/>
              <w:autoSpaceDE w:val="0"/>
              <w:autoSpaceDN w:val="0"/>
              <w:spacing w:before="100" w:beforeAutospacing="0" w:after="0" w:afterAutospacing="0" w:line="276" w:lineRule="auto"/>
              <w:jc w:val="both"/>
              <w:outlineLvl w:val="0"/>
              <w:rPr>
                <w:rFonts w:ascii="Times New Roman" w:hAnsi="Times New Roman" w:eastAsia="Times New Roman" w:cs="Times New Roman"/>
                <w:b/>
                <w:bCs/>
                <w:sz w:val="28"/>
                <w:szCs w:val="28"/>
                <w:lang w:val="en-US" w:eastAsia="ru-RU"/>
              </w:rPr>
            </w:pPr>
            <w:r>
              <w:rPr>
                <w:rFonts w:ascii="Times New Roman" w:hAnsi="Times New Roman" w:eastAsia="Times New Roman" w:cs="Times New Roman"/>
                <w:b/>
                <w:bCs/>
                <w:sz w:val="28"/>
                <w:szCs w:val="28"/>
                <w:lang w:val="en-US" w:eastAsia="ru-RU"/>
              </w:rPr>
              <w:t xml:space="preserve"> кг/ м2</w:t>
            </w:r>
          </w:p>
        </w:tc>
      </w:tr>
      <w:tr w14:paraId="1116B9A1">
        <w:tblPrEx>
          <w:tblCellMar>
            <w:top w:w="15" w:type="dxa"/>
            <w:left w:w="15" w:type="dxa"/>
            <w:bottom w:w="15" w:type="dxa"/>
            <w:right w:w="15" w:type="dxa"/>
          </w:tblCellMar>
        </w:tblPrEx>
        <w:tc>
          <w:tcPr>
            <w:tcW w:w="4665" w:type="dxa"/>
            <w:tcBorders>
              <w:top w:val="nil"/>
              <w:left w:val="outset" w:color="auto" w:sz="6" w:space="0"/>
              <w:bottom w:val="outset" w:color="auto" w:sz="6" w:space="0"/>
              <w:right w:val="outset" w:color="auto" w:sz="6" w:space="0"/>
            </w:tcBorders>
          </w:tcPr>
          <w:p w14:paraId="6431BD67">
            <w:pPr>
              <w:widowControl w:val="0"/>
              <w:autoSpaceDE w:val="0"/>
              <w:autoSpaceDN w:val="0"/>
              <w:spacing w:before="100" w:beforeAutospacing="0" w:after="0" w:afterAutospacing="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Қалыпты</w:t>
            </w:r>
          </w:p>
        </w:tc>
        <w:tc>
          <w:tcPr>
            <w:tcW w:w="4605" w:type="dxa"/>
            <w:tcBorders>
              <w:top w:val="nil"/>
              <w:left w:val="outset" w:color="auto" w:sz="6" w:space="0"/>
              <w:bottom w:val="outset" w:color="auto" w:sz="6" w:space="0"/>
              <w:right w:val="outset" w:color="auto" w:sz="6" w:space="0"/>
            </w:tcBorders>
          </w:tcPr>
          <w:p w14:paraId="633C0849">
            <w:pPr>
              <w:widowControl w:val="0"/>
              <w:autoSpaceDE w:val="0"/>
              <w:autoSpaceDN w:val="0"/>
              <w:spacing w:before="100" w:beforeAutospacing="0" w:after="0" w:afterAutospacing="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18,5–24,9</w:t>
            </w:r>
          </w:p>
        </w:tc>
      </w:tr>
      <w:tr w14:paraId="78B4FB10">
        <w:tblPrEx>
          <w:tblCellMar>
            <w:top w:w="15" w:type="dxa"/>
            <w:left w:w="15" w:type="dxa"/>
            <w:bottom w:w="15" w:type="dxa"/>
            <w:right w:w="15" w:type="dxa"/>
          </w:tblCellMar>
        </w:tblPrEx>
        <w:tc>
          <w:tcPr>
            <w:tcW w:w="4665" w:type="dxa"/>
            <w:tcBorders>
              <w:top w:val="nil"/>
              <w:left w:val="outset" w:color="auto" w:sz="6" w:space="0"/>
              <w:bottom w:val="outset" w:color="auto" w:sz="6" w:space="0"/>
              <w:right w:val="outset" w:color="auto" w:sz="6" w:space="0"/>
            </w:tcBorders>
          </w:tcPr>
          <w:p w14:paraId="2FDC188D">
            <w:pPr>
              <w:widowControl w:val="0"/>
              <w:autoSpaceDE w:val="0"/>
              <w:autoSpaceDN w:val="0"/>
              <w:spacing w:before="100" w:beforeAutospacing="0" w:after="0" w:afterAutospacing="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Артық салмақ</w:t>
            </w:r>
          </w:p>
        </w:tc>
        <w:tc>
          <w:tcPr>
            <w:tcW w:w="4605" w:type="dxa"/>
            <w:tcBorders>
              <w:top w:val="nil"/>
              <w:left w:val="outset" w:color="auto" w:sz="6" w:space="0"/>
              <w:bottom w:val="outset" w:color="auto" w:sz="6" w:space="0"/>
              <w:right w:val="outset" w:color="auto" w:sz="6" w:space="0"/>
            </w:tcBorders>
          </w:tcPr>
          <w:p w14:paraId="29A6A281">
            <w:pPr>
              <w:widowControl w:val="0"/>
              <w:autoSpaceDE w:val="0"/>
              <w:autoSpaceDN w:val="0"/>
              <w:spacing w:before="100" w:beforeAutospacing="0" w:after="0" w:afterAutospacing="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25,0–29,9</w:t>
            </w:r>
          </w:p>
        </w:tc>
      </w:tr>
      <w:tr w14:paraId="649E0236">
        <w:tblPrEx>
          <w:tblCellMar>
            <w:top w:w="15" w:type="dxa"/>
            <w:left w:w="15" w:type="dxa"/>
            <w:bottom w:w="15" w:type="dxa"/>
            <w:right w:w="15" w:type="dxa"/>
          </w:tblCellMar>
        </w:tblPrEx>
        <w:tc>
          <w:tcPr>
            <w:tcW w:w="4665" w:type="dxa"/>
            <w:tcBorders>
              <w:top w:val="nil"/>
              <w:left w:val="outset" w:color="auto" w:sz="6" w:space="0"/>
              <w:bottom w:val="outset" w:color="auto" w:sz="6" w:space="0"/>
              <w:right w:val="outset" w:color="auto" w:sz="6" w:space="0"/>
            </w:tcBorders>
          </w:tcPr>
          <w:p w14:paraId="52108A99">
            <w:pPr>
              <w:widowControl w:val="0"/>
              <w:autoSpaceDE w:val="0"/>
              <w:autoSpaceDN w:val="0"/>
              <w:spacing w:before="100" w:beforeAutospacing="0" w:after="0" w:afterAutospacing="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Семіздіктің I дәрежесі</w:t>
            </w:r>
          </w:p>
        </w:tc>
        <w:tc>
          <w:tcPr>
            <w:tcW w:w="4605" w:type="dxa"/>
            <w:tcBorders>
              <w:top w:val="nil"/>
              <w:left w:val="outset" w:color="auto" w:sz="6" w:space="0"/>
              <w:bottom w:val="outset" w:color="auto" w:sz="6" w:space="0"/>
              <w:right w:val="outset" w:color="auto" w:sz="6" w:space="0"/>
            </w:tcBorders>
          </w:tcPr>
          <w:p w14:paraId="5FA1FE1A">
            <w:pPr>
              <w:widowControl w:val="0"/>
              <w:autoSpaceDE w:val="0"/>
              <w:autoSpaceDN w:val="0"/>
              <w:spacing w:before="100" w:beforeAutospacing="0" w:after="0" w:afterAutospacing="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30 және &lt;35</w:t>
            </w:r>
          </w:p>
        </w:tc>
      </w:tr>
      <w:tr w14:paraId="015685B7">
        <w:tblPrEx>
          <w:tblCellMar>
            <w:top w:w="15" w:type="dxa"/>
            <w:left w:w="15" w:type="dxa"/>
            <w:bottom w:w="15" w:type="dxa"/>
            <w:right w:w="15" w:type="dxa"/>
          </w:tblCellMar>
        </w:tblPrEx>
        <w:tc>
          <w:tcPr>
            <w:tcW w:w="4665" w:type="dxa"/>
            <w:tcBorders>
              <w:top w:val="nil"/>
              <w:left w:val="outset" w:color="auto" w:sz="6" w:space="0"/>
              <w:bottom w:val="outset" w:color="auto" w:sz="6" w:space="0"/>
              <w:right w:val="outset" w:color="auto" w:sz="6" w:space="0"/>
            </w:tcBorders>
          </w:tcPr>
          <w:p w14:paraId="1CC7B87F">
            <w:pPr>
              <w:widowControl w:val="0"/>
              <w:autoSpaceDE w:val="0"/>
              <w:autoSpaceDN w:val="0"/>
              <w:spacing w:before="100" w:beforeAutospacing="0" w:after="0" w:afterAutospacing="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Семіздіктің II дәрежесі</w:t>
            </w:r>
          </w:p>
        </w:tc>
        <w:tc>
          <w:tcPr>
            <w:tcW w:w="4605" w:type="dxa"/>
            <w:tcBorders>
              <w:top w:val="nil"/>
              <w:left w:val="outset" w:color="auto" w:sz="6" w:space="0"/>
              <w:bottom w:val="outset" w:color="auto" w:sz="6" w:space="0"/>
              <w:right w:val="outset" w:color="auto" w:sz="6" w:space="0"/>
            </w:tcBorders>
          </w:tcPr>
          <w:p w14:paraId="34FDA2AD">
            <w:pPr>
              <w:widowControl w:val="0"/>
              <w:autoSpaceDE w:val="0"/>
              <w:autoSpaceDN w:val="0"/>
              <w:spacing w:before="100" w:beforeAutospacing="0" w:after="0" w:afterAutospacing="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35 және &lt;40</w:t>
            </w:r>
          </w:p>
        </w:tc>
      </w:tr>
      <w:tr w14:paraId="182721A9">
        <w:tblPrEx>
          <w:tblCellMar>
            <w:top w:w="15" w:type="dxa"/>
            <w:left w:w="15" w:type="dxa"/>
            <w:bottom w:w="15" w:type="dxa"/>
            <w:right w:w="15" w:type="dxa"/>
          </w:tblCellMar>
        </w:tblPrEx>
        <w:tc>
          <w:tcPr>
            <w:tcW w:w="4665" w:type="dxa"/>
            <w:tcBorders>
              <w:top w:val="nil"/>
              <w:left w:val="outset" w:color="auto" w:sz="6" w:space="0"/>
              <w:bottom w:val="outset" w:color="auto" w:sz="6" w:space="0"/>
              <w:right w:val="outset" w:color="auto" w:sz="6" w:space="0"/>
            </w:tcBorders>
          </w:tcPr>
          <w:p w14:paraId="6F54802A">
            <w:pPr>
              <w:widowControl w:val="0"/>
              <w:autoSpaceDE w:val="0"/>
              <w:autoSpaceDN w:val="0"/>
              <w:spacing w:before="100" w:beforeAutospacing="0" w:after="0" w:afterAutospacing="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Семіздіктің III дәрежесі</w:t>
            </w:r>
          </w:p>
        </w:tc>
        <w:tc>
          <w:tcPr>
            <w:tcW w:w="4605" w:type="dxa"/>
            <w:tcBorders>
              <w:top w:val="nil"/>
              <w:left w:val="outset" w:color="auto" w:sz="6" w:space="0"/>
              <w:bottom w:val="outset" w:color="auto" w:sz="6" w:space="0"/>
              <w:right w:val="outset" w:color="auto" w:sz="6" w:space="0"/>
            </w:tcBorders>
          </w:tcPr>
          <w:p w14:paraId="17C5BE6D">
            <w:pPr>
              <w:widowControl w:val="0"/>
              <w:autoSpaceDE w:val="0"/>
              <w:autoSpaceDN w:val="0"/>
              <w:spacing w:before="100" w:beforeAutospacing="0" w:after="0" w:afterAutospacing="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40 және жоғары</w:t>
            </w:r>
          </w:p>
        </w:tc>
      </w:tr>
    </w:tbl>
    <w:p w14:paraId="3042FD81">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 </w:t>
      </w:r>
    </w:p>
    <w:p w14:paraId="1503FEAE">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Жүкті әйелдердің көпшілігі жүктілік кезінде ұсынылғаннан артық салмақ қосады, бұл артық салмақ пен семіздік санатындағы әйелдерде жиі байқалады [50]. Семіздік көптеген аурулар үшін қауіп факторы, оның ішінде жоғары артериялық қысым, инсульт, жүрек аурулары, 2–ші типтегі қант диабеті, қатерлі ісік және артрит [49, 51].</w:t>
      </w:r>
    </w:p>
    <w:p w14:paraId="554E1142">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Ана семіздігі гестациялық қант диабеті, эклампсия, ұрықтың дамуын шектеу, туа біткен ауытқулар, ұрық өлімі, кесарь тілігімен босану және Апгар көрсеткішінің төмендеуімен байланысты [52, 51, 52, 53, 54, 55, 56, 57]. Сонымен қатар, ана мен баланың болашақ денсаулығы үшін ана семіздігінің ықтималды қауіпін ескеру маңызды. Макросомды нәрестелерде балалық шақтағы семіздік қаупі шамамен 50%–ға, жүрек–қан тамырлары ауруларынан мезгілсіз өлім қаупі 35%–ға жуықтайды [60, 62, 63].</w:t>
      </w:r>
    </w:p>
    <w:p w14:paraId="2EF8E5B9">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 </w:t>
      </w:r>
    </w:p>
    <w:p w14:paraId="1D91AE65">
      <w:pPr>
        <w:widowControl w:val="0"/>
        <w:autoSpaceDE w:val="0"/>
        <w:autoSpaceDN w:val="0"/>
        <w:spacing w:after="0" w:line="276" w:lineRule="auto"/>
        <w:ind w:firstLine="709"/>
        <w:jc w:val="both"/>
        <w:outlineLvl w:val="0"/>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eastAsia="ru-RU"/>
        </w:rPr>
        <w:t>1.3. Семіздікке және темір тапшылығы мен темір тапшылығы анемиясының дамуына байланысты қабыну маркерлері</w:t>
      </w:r>
    </w:p>
    <w:p w14:paraId="78DC1767">
      <w:pPr>
        <w:widowControl w:val="0"/>
        <w:autoSpaceDE w:val="0"/>
        <w:autoSpaceDN w:val="0"/>
        <w:spacing w:after="0" w:line="276" w:lineRule="auto"/>
        <w:ind w:firstLine="709"/>
        <w:jc w:val="both"/>
        <w:outlineLvl w:val="0"/>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eastAsia="ru-RU"/>
        </w:rPr>
        <w:t xml:space="preserve"> </w:t>
      </w:r>
    </w:p>
    <w:p w14:paraId="2E7ACBE5">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Гепсидин темір метаболизмінің негізгі реттеушісі және семіздік пен </w:t>
      </w:r>
      <w:r>
        <w:rPr>
          <w:rFonts w:ascii="Times New Roman" w:hAnsi="Times New Roman" w:eastAsia="Times New Roman" w:cs="Times New Roman"/>
          <w:sz w:val="28"/>
          <w:szCs w:val="28"/>
          <w:lang w:val="kk-KZ" w:eastAsia="ru-RU"/>
        </w:rPr>
        <w:t>ТТА-</w:t>
      </w:r>
      <w:r>
        <w:rPr>
          <w:rFonts w:ascii="Times New Roman" w:hAnsi="Times New Roman" w:eastAsia="Times New Roman" w:cs="Times New Roman"/>
          <w:sz w:val="28"/>
          <w:szCs w:val="28"/>
          <w:lang w:eastAsia="ru-RU"/>
        </w:rPr>
        <w:t>ның байланысының бірі ретінде анықталған [69, 78]. Қабынудың күшеюі мен лептиннің артық бөлінуі бауырда гепсидин өндірісін ынталандырады [79, 80]. Жоғарылаған гепсидин концентрациясы ферропортинмен әрекеттесе отырып, эритроциттердің мембранасындағы темірдің шығуын шектейді, бұл тем</w:t>
      </w:r>
      <w:r>
        <w:rPr>
          <w:rFonts w:ascii="Times New Roman" w:hAnsi="Times New Roman" w:eastAsia="Times New Roman" w:cs="Times New Roman"/>
          <w:sz w:val="28"/>
          <w:szCs w:val="28"/>
          <w:lang w:val="kk-KZ" w:eastAsia="ru-RU"/>
        </w:rPr>
        <w:t xml:space="preserve">ір тапшылығына </w:t>
      </w:r>
      <w:r>
        <w:rPr>
          <w:rFonts w:ascii="Times New Roman" w:hAnsi="Times New Roman" w:eastAsia="Times New Roman" w:cs="Times New Roman"/>
          <w:sz w:val="28"/>
          <w:szCs w:val="28"/>
          <w:lang w:eastAsia="ru-RU"/>
        </w:rPr>
        <w:t>(</w:t>
      </w:r>
      <w:r>
        <w:rPr>
          <w:rFonts w:ascii="Times New Roman" w:hAnsi="Times New Roman" w:eastAsia="Times New Roman" w:cs="Times New Roman"/>
          <w:sz w:val="28"/>
          <w:szCs w:val="28"/>
          <w:lang w:val="kk-KZ" w:eastAsia="ru-RU"/>
        </w:rPr>
        <w:t>ТТ</w:t>
      </w:r>
      <w:r>
        <w:rPr>
          <w:rFonts w:ascii="Times New Roman" w:hAnsi="Times New Roman" w:eastAsia="Times New Roman" w:cs="Times New Roman"/>
          <w:sz w:val="28"/>
          <w:szCs w:val="28"/>
          <w:lang w:eastAsia="ru-RU"/>
        </w:rPr>
        <w:t>) әкелуі мүмкін [81].</w:t>
      </w:r>
    </w:p>
    <w:p w14:paraId="37ECE53C">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Жақында табылған эритроферрон (ERFE) гормоны темір метаболизмінде маңызды рөл атқарады және гепсидин бөлінісін реттейді. Бүйректен бөлінетін эритропоэтин эритропоэзді ынталандырады, бұл ретте ERFE синтезін арттырады және гепсидин синтезін басады, осылайша темір қорларын жұмылдырады. ERFE (сурет–1) эритропоэздің күшеюімен байланысты эритробластардан бөлінеді және гепсидин экспрессиясын төмендетіп, темір сіңірілуін арттырады [83, 84]. </w:t>
      </w:r>
    </w:p>
    <w:p w14:paraId="16230EDC">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p>
    <w:p w14:paraId="59FDBC27">
      <w:pPr>
        <w:autoSpaceDE w:val="0"/>
        <w:spacing w:after="0" w:line="276" w:lineRule="auto"/>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drawing>
          <wp:inline distT="0" distB="0" distL="0" distR="0">
            <wp:extent cx="5840730" cy="3559810"/>
            <wp:effectExtent l="0" t="0" r="7620" b="2540"/>
            <wp:docPr id="85" name="Рисунок 85" descr="C:\Users\kgmuuser\AppData\Local\Temp\ksohtml7396\wps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Рисунок 85" descr="C:\Users\kgmuuser\AppData\Local\Temp\ksohtml7396\wps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5844751" cy="3562753"/>
                    </a:xfrm>
                    <a:prstGeom prst="rect">
                      <a:avLst/>
                    </a:prstGeom>
                    <a:noFill/>
                    <a:ln>
                      <a:noFill/>
                    </a:ln>
                  </pic:spPr>
                </pic:pic>
              </a:graphicData>
            </a:graphic>
          </wp:inline>
        </w:drawing>
      </w:r>
      <w:r>
        <w:rPr>
          <w:rFonts w:ascii="Times New Roman" w:hAnsi="Times New Roman" w:eastAsia="Times New Roman" w:cs="Times New Roman"/>
          <w:sz w:val="28"/>
          <w:szCs w:val="28"/>
          <w:lang w:eastAsia="ru-RU"/>
        </w:rPr>
        <w:t xml:space="preserve"> </w:t>
      </w:r>
    </w:p>
    <w:p w14:paraId="762800C7">
      <w:pPr>
        <w:widowControl w:val="0"/>
        <w:autoSpaceDE w:val="0"/>
        <w:autoSpaceDN w:val="0"/>
        <w:spacing w:after="0" w:line="276" w:lineRule="auto"/>
        <w:ind w:firstLine="709"/>
        <w:jc w:val="both"/>
        <w:outlineLvl w:val="0"/>
        <w:rPr>
          <w:rFonts w:ascii="Times New Roman" w:hAnsi="Times New Roman" w:eastAsia="Times New Roman" w:cs="Times New Roman"/>
          <w:iCs/>
          <w:sz w:val="28"/>
          <w:szCs w:val="28"/>
          <w:lang w:eastAsia="ru-RU"/>
        </w:rPr>
      </w:pPr>
    </w:p>
    <w:p w14:paraId="77B2BF9C">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val="kk-KZ" w:eastAsia="ru-RU"/>
        </w:rPr>
      </w:pPr>
      <w:r>
        <w:rPr>
          <w:rFonts w:ascii="Times New Roman" w:hAnsi="Times New Roman" w:eastAsia="Times New Roman" w:cs="Times New Roman"/>
          <w:iCs/>
          <w:sz w:val="28"/>
          <w:szCs w:val="28"/>
          <w:lang w:eastAsia="ru-RU"/>
        </w:rPr>
        <w:t>Сурет –1. ERFE–Гепсидин–Ферропортинн темір метаболизміндегі үрдісі</w:t>
      </w:r>
      <w:r>
        <w:rPr>
          <w:rFonts w:ascii="Times New Roman" w:hAnsi="Times New Roman" w:eastAsia="Times New Roman" w:cs="Times New Roman"/>
          <w:iCs/>
          <w:sz w:val="28"/>
          <w:szCs w:val="28"/>
          <w:lang w:val="kk-KZ" w:eastAsia="ru-RU"/>
        </w:rPr>
        <w:t xml:space="preserve">. </w:t>
      </w:r>
      <w:r>
        <w:rPr>
          <w:rFonts w:ascii="Times New Roman" w:hAnsi="Times New Roman" w:eastAsia="Times New Roman" w:cs="Times New Roman"/>
          <w:sz w:val="28"/>
          <w:szCs w:val="28"/>
          <w:lang w:val="kk-KZ" w:eastAsia="ru-RU"/>
        </w:rPr>
        <w:t>Дереккөз: Srole D.N., Ganz T., 2020 [83].</w:t>
      </w:r>
    </w:p>
    <w:p w14:paraId="1F6DC47A">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val="kk-KZ" w:eastAsia="ru-RU"/>
        </w:rPr>
      </w:pPr>
    </w:p>
    <w:p w14:paraId="51173916">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val="kk-KZ" w:eastAsia="ru-RU"/>
        </w:rPr>
      </w:pPr>
      <w:r>
        <w:rPr>
          <w:rFonts w:ascii="Times New Roman" w:hAnsi="Times New Roman" w:eastAsia="Times New Roman" w:cs="Times New Roman"/>
          <w:sz w:val="28"/>
          <w:szCs w:val="28"/>
          <w:lang w:val="kk-KZ" w:eastAsia="ru-RU"/>
        </w:rPr>
        <w:t>Бүйректегі интерстициальды фибробласттар мен бауырдағы гепатоциттер жасушалық гипоксияға Эритропоэтин (ЭПО) өндірісі арқылы жауап береді. ЭПO эритробласттардың кеңеюін ынталандырады, сонымен қатар ERFE өндірісін арттырады. ERFE бауырдағы гепсидиннің транскрипциясын тежейді, осылайша гепатоциттер мен макрофагтардың беттерінде жасушалық темір экспорттаушы ферропортинді тұрақтандырады. Жасушалық темір қорлары жетілген эритроциттердің кеңейтілген популяциясы арқылы гемоглобин синтезі үшін пайдаланылуы үшін плазмаға жұмылдырылады [84]. Гепсидинге эритроферронның әсері қабыну жағдайында өзгеріссіз қалады ма немесе жүктілік кезіндегі қан көлемінің ұлғаюымен өзгере ме – бұл әлі де зерттеуді қажет ететін мәселе.</w:t>
      </w:r>
    </w:p>
    <w:p w14:paraId="02F5E6C0">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val="kk-KZ" w:eastAsia="ru-RU"/>
        </w:rPr>
      </w:pPr>
      <w:r>
        <w:rPr>
          <w:rFonts w:ascii="Times New Roman" w:hAnsi="Times New Roman" w:eastAsia="Times New Roman" w:cs="Times New Roman"/>
          <w:sz w:val="28"/>
          <w:szCs w:val="28"/>
          <w:lang w:val="kk-KZ" w:eastAsia="ru-RU"/>
        </w:rPr>
        <w:t>Семіздікке байланысты қабынуды зерттеу барысында ДСИ қалыпты әйелдер тобы мен семіздігі бар әйелдер тобының темір профильдеріндегі айырмашылықтарына байланысты интерлейкин–6 (ИЛ–6) және лептин сияқты цитокиндер гепсидин өндірісін индукциялауы мүмкін деген ұсыныстар болған [19, 79, 87].</w:t>
      </w:r>
    </w:p>
    <w:p w14:paraId="2EA1FA7D">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val="kk-KZ" w:eastAsia="ru-RU"/>
        </w:rPr>
      </w:pPr>
      <w:r>
        <w:rPr>
          <w:rFonts w:ascii="Times New Roman" w:hAnsi="Times New Roman" w:eastAsia="Times New Roman" w:cs="Times New Roman"/>
          <w:sz w:val="28"/>
          <w:szCs w:val="28"/>
          <w:lang w:val="kk-KZ" w:eastAsia="ru-RU"/>
        </w:rPr>
        <w:t>Интерлейкин–6 жалпыланған қабыну реакциясының индукциясына жауап беретін қабыну цитокині болып табылады, ол кейін бауырда гепсидин өндірісін іске қосады [79, 80]. ИЛ–6 белсендірілген иммундық жасушалар арқылы өндірілгенімен, оны адипоциттік ұлпа да шығарады. Зерттеулер көрсеткендей, адипоциттік ұлпа айналымдағы ИЛ–6–ның шамамен 30%–ын өндіреді [85, 86]. Басқа да тікелей әсерлердің ішінде ИЛ–6–ның көтерілуі бауырдан С–реактивті ақуыздың (СРА) да [66, 88] жоғарылауына ықпал етеді. Сонымен қатар, бірнеше зерттеулерде босану кезінде гепсидиннің СРА [16] немесе ИЛ–6–мен [89] корреляциясы анықталған. Дегенмен, босану барысында гепсидин концентрациясының ерекше артуы қабыну көрсеткіштерімен байланысты екендігі жақсы құжатталған, әсіресе босану табиғи жолмен немесе шұғыл кесір тілігімен болған жағдайда. Бұл гепсидиннің жедел фазалық ақуыз болуына байланысты және бұл, әдетте, босану кезінде болатын қабынулық үрдіске жауап ретінде болуы мүмкін; семіздіктің бұл жағдайда байланысы болмауы мүмкін [90, 91, 92].</w:t>
      </w:r>
    </w:p>
    <w:p w14:paraId="171363BC">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val="kk-KZ" w:eastAsia="ru-RU"/>
        </w:rPr>
      </w:pPr>
      <w:r>
        <w:rPr>
          <w:rFonts w:ascii="Times New Roman" w:hAnsi="Times New Roman" w:eastAsia="Times New Roman" w:cs="Times New Roman"/>
          <w:sz w:val="28"/>
          <w:szCs w:val="28"/>
          <w:lang w:val="kk-KZ" w:eastAsia="ru-RU"/>
        </w:rPr>
        <w:t>Бұған қарамастан, артық салмақ пен семіздік гепсидин өндірісіне ықпал етеді. Бұл гипотезаны қабыну цитокиндерінің бөлінуімен және темір сіңірілуінің төмендеуімен түсіндіруге болады [93, 94, 95]. Cepeda–Lopez және т.б. (2016) бариатриялық хирургиядан кейінгі май жоғалуының қабынуға, сарысудағы гепсидинге және темірдің сіңуіне әсерін бағалады. Алты айлық бақылаудан кейін олар жалпы дене майы, интерлейкин–6 және гепсидин деңгейлерінің айтарлықтай төмендегенін, ал ТТ бар адамдарда темірдің сіңуі 28%–ға артқанын анықтады [96].</w:t>
      </w:r>
    </w:p>
    <w:p w14:paraId="5DE5D100">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val="kk-KZ" w:eastAsia="ru-RU"/>
        </w:rPr>
      </w:pPr>
      <w:r>
        <w:rPr>
          <w:rFonts w:ascii="Times New Roman" w:hAnsi="Times New Roman" w:eastAsia="Times New Roman" w:cs="Times New Roman"/>
          <w:sz w:val="28"/>
          <w:szCs w:val="28"/>
          <w:lang w:val="kk-KZ" w:eastAsia="ru-RU"/>
        </w:rPr>
        <w:t>Сонымен қатар, Kaner және оның тобы (2019) салмақ жоғалту бағдарламасына қатысқан артық салмағы және семіздігі бар менопауза алдындағы түрік әйелдерінде дене салмағы мен темір айналымы параметрлерінің өзгерістерін талдады. Олар дене салмағын жоғалту мен СРА деңгейлері арасында статистикалық маңызды байланыстың бар екендігін және салмақ жоғалтудың созылмалы қабыну үрдісін төмендетуге оң әсер етіп, қандағы темір көрсеткіштерінің жақсаруына ықпал ететінін қорытындылады [97].</w:t>
      </w:r>
    </w:p>
    <w:p w14:paraId="548FE58F">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val="kk-KZ" w:eastAsia="ru-RU"/>
        </w:rPr>
      </w:pPr>
      <w:r>
        <w:rPr>
          <w:rFonts w:ascii="Times New Roman" w:hAnsi="Times New Roman" w:eastAsia="Times New Roman" w:cs="Times New Roman"/>
          <w:sz w:val="28"/>
          <w:szCs w:val="28"/>
          <w:lang w:val="kk-KZ" w:eastAsia="ru-RU"/>
        </w:rPr>
        <w:t>Ферритин – темір сақтайтын ақуыз, сондай–ақ жедел фазалық ақуыз. Қан концентрациясында қабынуға жауап ретінде тез көтеріледі, сол кезде темір қорларының өкілі болып табылмайды. Қабынудың алғашқы тәулігінде ферритин мен CРА ұқсас түрде жоғарылайды; CРА деңгейі шамамен екі тәулікте [98, 99] шарықтау шегіне жетеді. Ферритин деңгейі қабыну басталғаннан кейін шамамен төртінші тәулікте шарықтау шегіне жетіп, басқа қабыну ақуызы – альфа–1 қышқылды гликопротеидке (АГП) ұқсас жоғары болып қалады, ал CРА деңгейі тез төмендейді. Қабыну басталғаннан кейін алтыншы күні барлық маркерлердің (ферритин, АГП және CРА) қабынуға дейінгі концентрацияларынан жоғары болып қала беретіні байқалды [98, 99, 100].</w:t>
      </w:r>
    </w:p>
    <w:p w14:paraId="2F6682C1">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val="kk-KZ" w:eastAsia="ru-RU"/>
        </w:rPr>
      </w:pPr>
      <w:r>
        <w:rPr>
          <w:rFonts w:ascii="Times New Roman" w:hAnsi="Times New Roman" w:eastAsia="Times New Roman" w:cs="Times New Roman"/>
          <w:sz w:val="28"/>
          <w:szCs w:val="28"/>
          <w:lang w:val="kk-KZ" w:eastAsia="ru-RU"/>
        </w:rPr>
        <w:t xml:space="preserve"> </w:t>
      </w:r>
    </w:p>
    <w:p w14:paraId="0AB2FDDC">
      <w:pPr>
        <w:widowControl w:val="0"/>
        <w:autoSpaceDE w:val="0"/>
        <w:autoSpaceDN w:val="0"/>
        <w:spacing w:after="0" w:line="276" w:lineRule="auto"/>
        <w:ind w:firstLine="709"/>
        <w:jc w:val="both"/>
        <w:outlineLvl w:val="0"/>
        <w:rPr>
          <w:rFonts w:ascii="Times New Roman" w:hAnsi="Times New Roman" w:eastAsia="Times New Roman" w:cs="Times New Roman"/>
          <w:b/>
          <w:sz w:val="28"/>
          <w:szCs w:val="28"/>
          <w:lang w:val="kk-KZ" w:eastAsia="ru-RU"/>
        </w:rPr>
      </w:pPr>
      <w:r>
        <w:rPr>
          <w:rFonts w:ascii="Times New Roman" w:hAnsi="Times New Roman" w:eastAsia="Times New Roman" w:cs="Times New Roman"/>
          <w:b/>
          <w:sz w:val="28"/>
          <w:szCs w:val="28"/>
          <w:lang w:val="kk-KZ" w:eastAsia="ru-RU"/>
        </w:rPr>
        <w:t>1.4 Жүктілік кезіндегі анемияның семіздікпен байланысын көрсететін патогенетикалық механизм</w:t>
      </w:r>
    </w:p>
    <w:p w14:paraId="0FC188F0">
      <w:pPr>
        <w:widowControl w:val="0"/>
        <w:autoSpaceDE w:val="0"/>
        <w:autoSpaceDN w:val="0"/>
        <w:spacing w:after="0" w:line="276" w:lineRule="auto"/>
        <w:ind w:firstLine="709"/>
        <w:jc w:val="both"/>
        <w:outlineLvl w:val="0"/>
        <w:rPr>
          <w:rFonts w:ascii="Times New Roman" w:hAnsi="Times New Roman" w:eastAsia="Times New Roman" w:cs="Times New Roman"/>
          <w:b/>
          <w:sz w:val="28"/>
          <w:szCs w:val="28"/>
          <w:lang w:val="kk-KZ" w:eastAsia="ru-RU"/>
        </w:rPr>
      </w:pPr>
      <w:r>
        <w:rPr>
          <w:rFonts w:ascii="Times New Roman" w:hAnsi="Times New Roman" w:eastAsia="Times New Roman" w:cs="Times New Roman"/>
          <w:b/>
          <w:sz w:val="28"/>
          <w:szCs w:val="28"/>
          <w:lang w:val="kk-KZ" w:eastAsia="ru-RU"/>
        </w:rPr>
        <w:t xml:space="preserve"> </w:t>
      </w:r>
    </w:p>
    <w:p w14:paraId="0EAF1284">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val="kk-KZ" w:eastAsia="ru-RU"/>
        </w:rPr>
      </w:pPr>
      <w:r>
        <w:rPr>
          <w:rFonts w:ascii="Times New Roman" w:hAnsi="Times New Roman" w:eastAsia="Times New Roman" w:cs="Times New Roman"/>
          <w:sz w:val="28"/>
          <w:szCs w:val="28"/>
          <w:lang w:val="kk-KZ" w:eastAsia="ru-RU"/>
        </w:rPr>
        <w:t>Семіздік жүктілік кезінде темір айналымына кері әсерін тигізетін жолдардың бірі – төмен деңгейдегі қабыну үрдісі [101, 102]. Бұл жағдай созылмалы аурулардың анемиясына да әкелуі мүмкін. Нақтырақ айтқанда, СРА, ИЛ–6, ісік некрозының альфа факторы және альфа–1 қышқылды гликопротеид (АГП) сияқты қабыну ақуыздары мен цитокиндердің жоғарылауы салдарынан пайда болады [103]. Мұндай жағдайлар артық салмағы немесе семіздігі бар жүкті емес адамдарда да байқалады [104]. Coimbra және басқалар (2017) сегіз айлық физикалық жаттығу бағдарламасының артық салмағы мен семіздігі бар балалар мен жасөспірімдердегі гепсидинге, қабынуға және темір деңгейіне әсерін зерттеді. Нәтижелерде қан сарысуындағы темір деңгейінің жоғарылауымен қатар, ДСИ, СРА, ИЛ–6, ферритин, гепсидин және еритін трансферрин рецепторларының төмендеуі байқалды [105].</w:t>
      </w:r>
    </w:p>
    <w:p w14:paraId="6D6615B0">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val="kk-KZ" w:eastAsia="ru-RU"/>
        </w:rPr>
      </w:pPr>
      <w:r>
        <w:rPr>
          <w:rFonts w:ascii="Times New Roman" w:hAnsi="Times New Roman" w:eastAsia="Times New Roman" w:cs="Times New Roman"/>
          <w:sz w:val="28"/>
          <w:szCs w:val="28"/>
          <w:lang w:val="kk-KZ" w:eastAsia="ru-RU"/>
        </w:rPr>
        <w:t>Лептин май тіндері, плацента және басқа тіндерден бөлінетін қабынуға қарсы медиатор болып табылады. Плацентада өндірілген лептиннің шамамен 95%–ы ананың қан айналымына түседі. Лептин макрофагтар, дендритті жасушалар және табиғи киллер жасушаларының модуляторы мен активаторы ретінде маңызды рөл атқарады. Ол реттеуші Т–жасушаларының (Treg) генерациясы мен көбеюіне, ангиогенезге және трофобластикалық инвазияға әсер етеді [106, 107]. Қалыпты салмақтағы әйелдерде жүктілік жалғасқан сайын лептин деңгейі артады, бірақ босанғаннан кейін тез төмендеп, прегравидиандық мәндерге оралады [108, 109].</w:t>
      </w:r>
    </w:p>
    <w:p w14:paraId="005AE293">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val="kk-KZ" w:eastAsia="ru-RU"/>
        </w:rPr>
      </w:pPr>
      <w:r>
        <w:rPr>
          <w:rFonts w:ascii="Times New Roman" w:hAnsi="Times New Roman" w:eastAsia="Times New Roman" w:cs="Times New Roman"/>
          <w:sz w:val="28"/>
          <w:szCs w:val="28"/>
          <w:lang w:val="kk-KZ" w:eastAsia="ru-RU"/>
        </w:rPr>
        <w:t>Жүктіліктен тыс уақытта қан сарысуындағы лептин деңгейі ДСИ және дене майының массасымен оң корреляцияланады [110, 111]. Зерттеулер ананың семіздігі мен айналымдағы лептин деңгейінің арасындағы байланысты көрсетеді. Жүктілік кезінде артық салмағы бар әйелдерде қалыпты салмақтағы әйелдерге қарағанда қан айналымындағы лептин деңгейі едәуір жоғары болады [112, 113, 114, 115, 116].</w:t>
      </w:r>
    </w:p>
    <w:p w14:paraId="39B2C897">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val="kk-KZ" w:eastAsia="ru-RU"/>
        </w:rPr>
      </w:pPr>
      <w:r>
        <w:rPr>
          <w:rFonts w:ascii="Times New Roman" w:hAnsi="Times New Roman" w:eastAsia="Times New Roman" w:cs="Times New Roman"/>
          <w:sz w:val="28"/>
          <w:szCs w:val="28"/>
          <w:lang w:val="kk-KZ" w:eastAsia="ru-RU"/>
        </w:rPr>
        <w:t>Castellano–Filho және т.б. қалыпты салмақтағы (ДСИ &lt; 25 кг/м², n=27) және артық салмағы бар (ДСИ ≥ 25 кг/м², n=15) төмен қауіпті жүкті әйелдер тобында лептиннің сарысудағы деңгейін жүктілік мерзімдеріне қарай зерттеді. Олар жүктілік мерзіміне қарай лептин деңгейінің артуын анықтағанымен, артық салмақты және семіздігі бар әйелдерде бұл арту қалыпты салмақтағы топқа қарағанда баяу екенін байқады [116].</w:t>
      </w:r>
    </w:p>
    <w:p w14:paraId="1AC622A0">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val="kk-KZ" w:eastAsia="ru-RU"/>
        </w:rPr>
      </w:pPr>
      <w:r>
        <w:rPr>
          <w:rFonts w:ascii="Times New Roman" w:hAnsi="Times New Roman" w:eastAsia="Times New Roman" w:cs="Times New Roman"/>
          <w:sz w:val="28"/>
          <w:szCs w:val="28"/>
          <w:lang w:val="kk-KZ" w:eastAsia="ru-RU"/>
        </w:rPr>
        <w:t>Үлкейген адипоциттер цитокиндер мен лептиннің жоғары деңгейін [69, 117] және қабынуға қарсы гормон адипонектиннің төмен деңгейін бөледі. Amato және басқалар (2010) семіздікпен ауыратын балалардағы қан сарысуындағы гепсидин деңгейіне және темір деңгейіне ДСИ төмендетудің әсерін зерттеп, гепсидин мен лептин деңгейінің айтарлықтай төмендегенін, ал темірдің сіңуінің жоғарылағанын анықтады [118]. Gong және әріптестері (2014) қан сарысуындағы ферритин деңгейі өзгермегенімен, темір статусының жақсарғанын және қабыну маркерлерінің төмендегенін хабарлады [119].</w:t>
      </w:r>
    </w:p>
    <w:p w14:paraId="3E2B06DA">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val="kk-KZ" w:eastAsia="ru-RU"/>
        </w:rPr>
      </w:pPr>
      <w:r>
        <w:rPr>
          <w:rFonts w:ascii="Times New Roman" w:hAnsi="Times New Roman" w:eastAsia="Times New Roman" w:cs="Times New Roman"/>
          <w:sz w:val="28"/>
          <w:szCs w:val="28"/>
          <w:lang w:val="kk-KZ" w:eastAsia="ru-RU"/>
        </w:rPr>
        <w:t>Осылайша, адипоцитті тін массасының артуы төмен деңгейдегі созылмалы қабынуды күшейтеді [60, 89, 120]. Анадағы семіздікке байланысты қабыну медиаторларының егжей–тегжейлі түйіндемесі мен сипаттамасы 2017 жылы Pendeloski және басқалардың шолуында баяндалды [121]. Қолда бар зерттеулердің көптігіне қарамастан, артық салмағы бар немесе семіздігі бар жүкті әйелдердегі қабыну медиаторларының профилі бойынша қарама–қайшы нәтижелер де кездеседі, қазіргі таңда 22–ге жетті. Бірнеше зерттеу семіздік пен ТТ және ТТА арасындағы байланысты қарастырған [9, 14, 69, 122, 123]. Семіз балалардың 58,3%–ы анемияға шалдыққан, ал қалыпты салмақтағы балалардың тек 6,7%–ында анемия байқалған [81].</w:t>
      </w:r>
    </w:p>
    <w:p w14:paraId="13B2B1EA">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val="kk-KZ" w:eastAsia="ru-RU"/>
        </w:rPr>
      </w:pPr>
      <w:r>
        <w:rPr>
          <w:rFonts w:ascii="Times New Roman" w:hAnsi="Times New Roman" w:eastAsia="Times New Roman" w:cs="Times New Roman"/>
          <w:sz w:val="28"/>
          <w:szCs w:val="28"/>
          <w:lang w:val="kk-KZ" w:eastAsia="ru-RU"/>
        </w:rPr>
        <w:t>Nead және әріптестері [122] артық салмағы немесе семіздікке бейімділік қаупі бар балалардың дені сау салмақ көрсеткіштерімен салыстырғанда ТТ-на екі есе бейім екенін көрсетті.</w:t>
      </w:r>
    </w:p>
    <w:p w14:paraId="496013E2">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val="kk-KZ" w:eastAsia="ru-RU"/>
        </w:rPr>
      </w:pPr>
      <w:r>
        <w:rPr>
          <w:rFonts w:ascii="Times New Roman" w:hAnsi="Times New Roman" w:eastAsia="Times New Roman" w:cs="Times New Roman"/>
          <w:sz w:val="28"/>
          <w:szCs w:val="28"/>
          <w:lang w:val="kk-KZ" w:eastAsia="ru-RU"/>
        </w:rPr>
        <w:t xml:space="preserve">Семіздік төмен дәрежелі созылмалы қабынумен байланысты [31]. Қабынуға қарсы бірнеше цитокиндер, соның ішінде интерлейкин–6 және ісік некрозының альфа факторы, май тінінен бөлінеді. Шынында да, қан айналымындағы интерлейкин–6–ның шамамен үштен бірі май тінінен бөлінеді. Шынында да, қан айналымындағы интерлейкин–6–ның шамамен үштен бірі май тінінен бөлінеді [124]. </w:t>
      </w:r>
      <w:bookmarkStart w:id="2" w:name="_Hlk163591229"/>
      <w:r>
        <w:rPr>
          <w:rFonts w:ascii="Times New Roman" w:hAnsi="Times New Roman" w:eastAsia="Times New Roman" w:cs="Times New Roman"/>
          <w:sz w:val="28"/>
          <w:szCs w:val="28"/>
          <w:lang w:val="kk-KZ" w:eastAsia="ru-RU"/>
        </w:rPr>
        <w:t>Семіздік пен ТТ байланыстыратын негізгі механизм – семіздігі бар адамдарда байқалатын төмен дәрежелі жүйелік қабыну [105]. Артық салмағы бар және семіздігі бар адамдардың қан сарысуында гепсидин мен интерлейкин–6 қалыпты салмақтағы адамдарға қарағанда айтарлықтай жоғары [22]. Гепсидин бауырда синтезделіп, интерлейкин–6 сияқты қабынуға қарсы цитокиндермен ынталандырылады [87]. Жақында жүргізілген зерттеу орталық семіздігі бар артық салмақты және семіздігі бар әйелдерде гепсидиннің сарысуда жоғарылауы, қабыну деңгейінің артуы, темір деңгейінің төмендеуі және қосымша темірмен қоректенгенде темірдің сіңуінің төмендеуі байқалатынын көрсеткен [125].</w:t>
      </w:r>
      <w:bookmarkEnd w:id="2"/>
    </w:p>
    <w:p w14:paraId="05E78F96">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val="kk-KZ" w:eastAsia="ru-RU"/>
        </w:rPr>
      </w:pPr>
      <w:r>
        <w:rPr>
          <w:rFonts w:ascii="Times New Roman" w:hAnsi="Times New Roman" w:eastAsia="Times New Roman" w:cs="Times New Roman"/>
          <w:sz w:val="28"/>
          <w:szCs w:val="28"/>
          <w:lang w:val="kk-KZ" w:eastAsia="ru-RU"/>
        </w:rPr>
        <w:t>ДСИ қалыпты және семіздігі бар жүкті әйелдерді зерттеу барысында гепсидин деңгейі жүктіліктің екінші триместрінде семіздігі бар жүкті әйелдерде СРА деңгейімен оң байланыста болған. Бұл семіздігі бар жүкті әйелдерде қабыну профилінің жоғарылауы гепсидин деңгейінің артуымен байланысты екенін көрсетеді [78]. Сонымен қатар, анадағы ДСИ гепсидиннің кіндікбау қанының темір өлшемдеріне кері байланысты болған.</w:t>
      </w:r>
    </w:p>
    <w:p w14:paraId="1F7C0FBD">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val="kk-KZ" w:eastAsia="ru-RU"/>
        </w:rPr>
      </w:pPr>
      <w:r>
        <w:rPr>
          <w:rFonts w:ascii="Times New Roman" w:hAnsi="Times New Roman" w:eastAsia="Times New Roman" w:cs="Times New Roman"/>
          <w:sz w:val="28"/>
          <w:szCs w:val="28"/>
          <w:lang w:val="kk-KZ" w:eastAsia="ru-RU"/>
        </w:rPr>
        <w:t>Кейбір зерттеулер жүктілік кезінде СРА–ның жоғарылауын хабарласа [126, 127, 128], басқалары бірінші және үшінші триместрлерде қоректік заттарды жеткізу фазасы аясында қабынуға қарсы өзгерістерді көрсетеді, ал екінші триместрде қабынуға қарсы фаза бар екенін көрсеткен [92, 129]. Бело және әріптестері [130] зерттеуінде жүктілік триместрлері арасында және ішінде СРА деңгейінің үлкен өзгерістері туралы хабарласа, Кристиан және басқалар [104] жүктілік кезінде СРА–ның прогрессивті төмендеуін тіркеген. Жүктілік кезіндегі СРА деңгейінің нәсілдік айырмашылықтары да анықталған [131].</w:t>
      </w:r>
    </w:p>
    <w:p w14:paraId="75747982">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val="kk-KZ" w:eastAsia="ru-RU"/>
        </w:rPr>
      </w:pPr>
      <w:r>
        <w:rPr>
          <w:rFonts w:ascii="Times New Roman" w:hAnsi="Times New Roman" w:eastAsia="Times New Roman" w:cs="Times New Roman"/>
          <w:sz w:val="28"/>
          <w:szCs w:val="28"/>
          <w:lang w:val="kk-KZ" w:eastAsia="ru-RU"/>
        </w:rPr>
        <w:t>Flynn және оның тобы [18] семіздігі бар 245 жүкті әйелді және қалыпты салмақтағы 245 жүкті әйелді зерттегенде, семіздігі бар әйелдерде СРА және ИЛ–6 деңгейінің айтарлықтай жоғарылағанын хабарлаған. Қан сарысуындағы ферритин мен гепсидин деңгейлері тек 15–18 аптада ғана өзгерген, бұл жүктіліктің осы кезеңінде гепсидиннің қабынуға тәуелді еместігін көрсетеді. Сонымен қатар, семіздігі бар әйелдерде осы кезеңде sTfR мен ферритиннің арақатынасы қалыпты салмақтағы әйелдерге қарағанда жоғары болды. Зерттеушілер қабыну жағдайында ферритин деңгейін түзеткенін атап өтпеген [132, 133]. Ферритин – жедел фазалық ақуыз, және СРА мен ИЛ–6 көрсеткіштері қабыну жағдайының индикаторы болып табылады. Сондықтан қабынуға байланысты ферритин деңгейлері жоғарылауы мүмкін, бұл семіздігі бар және ДСИ қалыпты әйелдер арасындағы ферритин деңгейіндегі айырмашылықтың болмауын түсіндіруі мүмкін. Сонымен қатар, деректер екі түрлі зерттеуден алынғандықтан, олардың бастапқы сипаттамалары әр түрлі болуы мүмкін.</w:t>
      </w:r>
    </w:p>
    <w:p w14:paraId="433391E2">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val="kk-KZ" w:eastAsia="ru-RU"/>
        </w:rPr>
      </w:pPr>
      <w:r>
        <w:rPr>
          <w:rFonts w:ascii="Times New Roman" w:hAnsi="Times New Roman" w:eastAsia="Times New Roman" w:cs="Times New Roman"/>
          <w:sz w:val="28"/>
          <w:szCs w:val="28"/>
          <w:lang w:val="kk-KZ" w:eastAsia="ru-RU"/>
        </w:rPr>
        <w:t>Cao және әріптестері [89] жүктілік алдындағы ДСИ, гестациялық салмақ қосу және ана мен жаңа туған нәрестедегі темір параметрлері (сарысудағы ферритин, sTfR, сарысудағы темір, ЭПО, гепсидин және дене темірі құрамы) арасындағы байланысты зерттеген. Зерттеуге жалпы 230 жүкті жасөспірім әйел енгізілді, олардың 38%–ы артық салмақты немесе семіздік санатына жатқызылған. Қатысушылардың жас диапазоны 13–18 жас болғандықтан, олар басқа зерттеулермен салыстырғанда анағұрлым жас болды. Жүктілік кезінде қатысушылардың көпшілігі ұсынылған нормадан артық салмақ қосқан. Ана қанының үлгілері жүктіліктің ортасында және босануға жақын кезеңде кіндікбау қанымен бірге алынған. Бұл нәтижелер жүктілік кезінде семіздікке байланысты қабынудың гепсидин өндірісін реттейтін темір сигналдарына ықпалын жоққа шығармайды және осы жасөспірімдер тобына ананың семіздігінің шамадан тыс салмақ жинау мен босану кезіндегі темір статусының зиянды әсері туралы дәлелдер жеткіліксіз екенін көрсеткен. Босану кезінде жүктілік алдындағы ДСИ мен лептин арасындағы байланыс қана сақталған. Дегенмен, жүктілік алдындағы ДСИ санаттары мен темір параметрлері (сарысудағы ферритин, sTfR, сарысудағы темір, ЭПО және гепсидин) арасында босану кезінде маңызды айырмашылықтар болмаған.</w:t>
      </w:r>
      <w:r>
        <w:rPr>
          <w:rFonts w:hint="default" w:ascii="Times New Roman" w:hAnsi="Times New Roman" w:eastAsia="Times New Roman" w:cs="Times New Roman"/>
          <w:sz w:val="28"/>
          <w:szCs w:val="28"/>
          <w:lang w:val="kk-KZ" w:eastAsia="ru-RU"/>
        </w:rPr>
        <w:t xml:space="preserve"> </w:t>
      </w:r>
      <w:r>
        <w:rPr>
          <w:rFonts w:ascii="Times New Roman" w:hAnsi="Times New Roman" w:eastAsia="Times New Roman" w:cs="Times New Roman"/>
          <w:sz w:val="28"/>
          <w:szCs w:val="28"/>
          <w:lang w:val="kk-KZ" w:eastAsia="ru-RU"/>
        </w:rPr>
        <w:t>Сонымен қатар, гепсидин мен сарысудағы ферритиннің 2 және 3–санаттағы семіздікпен өмір сүретін әйелдерде жоғары болуы байқалған. Зерттеушілер жүктілік кезінде қабыну темір метаболизміне әсер етпейді, ал гепсидин деңгейіне ИЛ–6 туындатқан қабыну семіздіктің белгілі бір деңгейіне жеткенде ғана әсер етеді деген болжам ұсынады.</w:t>
      </w:r>
    </w:p>
    <w:p w14:paraId="2C70622B">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val="kk-KZ" w:eastAsia="ru-RU"/>
        </w:rPr>
      </w:pPr>
      <w:r>
        <w:rPr>
          <w:rFonts w:ascii="Times New Roman" w:hAnsi="Times New Roman" w:eastAsia="Times New Roman" w:cs="Times New Roman"/>
          <w:sz w:val="28"/>
          <w:szCs w:val="28"/>
          <w:lang w:val="kk-KZ" w:eastAsia="ru-RU"/>
        </w:rPr>
        <w:t>Garcia–Valdes және т.б. [16] гестациялық қант диабеті жоқ жүкті әйелдерге зерттеу жүргізді. Бұл зерттеуге барлығы 240 әйел қатысты. Босану кезінде барлығы 158 плацента (n=90 қалыпты ДСИ, n=37 артық салмақ және n=31 семіздік) жиналды. Ананың темір статусы қан сарысуындағы трансферрин рецепторы (sTFR) мен ферритин деңгейін 24 және 34 аптада және босану кезінде анықтау арқылы өлшенді. Анадағы ферритин деңгейі ДСИ–нің барлық топтары бойынша sTFR–мен байланысты болғанымен, СРА–мен сәйкес келмеген, бұл ферритин деңгейінің қабынуға емес, темір статусының көрсеткіші екенін болжайды. Қызықты жайт, жүктіліктің екінші триместрінде семіздігі бар әйелдерде ферритин деңгейі төмендеген, ал қалыпты салмақтағы әйелдерде ферритин деңгейінің шамамен үшінші триместрге дейін өскені байқалды. Бұл деректер семіздігі бар жүкті әйелдерде ТТ-ның жоғары қаупі бар екенін және гепсидиннің реттеуші фактор болуы мүмкін деген гипотезаны қолдайды.</w:t>
      </w:r>
    </w:p>
    <w:p w14:paraId="6E72E801">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val="kk-KZ" w:eastAsia="ru-RU"/>
        </w:rPr>
      </w:pPr>
      <w:r>
        <w:rPr>
          <w:rFonts w:ascii="Times New Roman" w:hAnsi="Times New Roman" w:eastAsia="Times New Roman" w:cs="Times New Roman"/>
          <w:sz w:val="28"/>
          <w:szCs w:val="28"/>
          <w:lang w:val="kk-KZ" w:eastAsia="ru-RU"/>
        </w:rPr>
        <w:t>Туылған кезде темірдің едәуір бөлігі ұрықтық гемоглобин түрінде болады және артық темір қайта пайдалану үшін өңделеді. Гемоглобин құрамындағы темірдің мөлшері жоғары, бұл он екі аптаға дейін өзгеріссіз қалады. Жылдам өсетін нәрестелердің темір қоры тез сарқылып, соның салдарынан балаларда ТТ жиі байқалады [134]. Темір қоры шамамен 6 айға дейін таусылып, жеткіліксіздік ТТ/ТТА (темір тапшылығы және темір тапшылығы анемиясы) [41] дамуына әкеледі. Бұл танымдық және қозғалыс қабілеттерінің нашарлауына, сонымен қатар қайтымсыз салдарларға ұшыратуы мүмкін [135, 136, 137]. Жүктілік кезінде ТТ/ТТА таралуы, оның темір статусы мен нәрестенің нейрокогнитивтік дамуына және кардиомиопатиялық бұзылыстарға әсер ететіні анықталған [138]. Әлемдік ғылыми зерттеулерге қарамастан, ТТ және ТТА әлі күнге дейін маңызды жаһандық мәселе болып қала береді [139].</w:t>
      </w:r>
    </w:p>
    <w:p w14:paraId="493B6D24">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val="kk-KZ" w:eastAsia="ru-RU"/>
        </w:rPr>
      </w:pPr>
      <w:r>
        <w:rPr>
          <w:rFonts w:ascii="Times New Roman" w:hAnsi="Times New Roman" w:eastAsia="Times New Roman" w:cs="Times New Roman"/>
          <w:sz w:val="28"/>
          <w:szCs w:val="28"/>
          <w:lang w:val="kk-KZ" w:eastAsia="ru-RU"/>
        </w:rPr>
        <w:t>Шамадан тыс адипоцитті тіндер анаға ғана емес, сонымен қатар нәрестенің денсаулығына да теріс әсер етуі мүмкін. Семіздігі бар және қалыпты салмақтағы аналардан алынған плаценталардың протеомикалық зерттеулері қабынуды, тотығу стрессін, цитоскелеттік құрылымды, өсу реттеушісін және басқа да жасушалық функцияларға қатысатын сегіз түрлі ақуыз айырмашылықтарын анықтады [140]. Авторлар семіздігі бар аналардың плаценталарында ферритиннің төмендігін атап өткен, бұл еркін темір деңгейінің жоғарылауына және осындай әйелдерде реактивті оттегінің түзілуі мен тотығу стрессінің күшеюіне әкелуі мүмкін. Сонымен қатар, плаценталық ферритин жетіспеушілігі темірдің анадан ұрыққа ауысуын төмендетуі мүмкін. Бұл мәселені тереңірек зерттеу үшін қосымша зерттеулер қажет.</w:t>
      </w:r>
    </w:p>
    <w:p w14:paraId="07D6E4CF">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val="kk-KZ" w:eastAsia="ru-RU"/>
        </w:rPr>
      </w:pPr>
      <w:r>
        <w:rPr>
          <w:rFonts w:ascii="Times New Roman" w:hAnsi="Times New Roman" w:eastAsia="Times New Roman" w:cs="Times New Roman"/>
          <w:sz w:val="28"/>
          <w:szCs w:val="28"/>
          <w:lang w:val="kk-KZ" w:eastAsia="ru-RU"/>
        </w:rPr>
        <w:t xml:space="preserve">Garcia–Valdes және басқалар [16] ана ДСИ–не қарамастан, темір жетіспейтін аналардың плаценталарында плаценталық трансферрин рецепторының (rTfR 1) жоғары деңгейін анықтаған, бұл темірдің ұрыққа берілуінде маңызды рөл атқарады. Бұл зерттеуде қалыпты салмақтағы 86 ұрықжолдасы және 97 кіндікбау қан үлгісі, артық салмақтағы 20 әйел және семіздігі бар 16 әйелден алынған. Сонымен қатар, босану кезінде анадағы гепсидин мен кіндікбау қанының гепсидин деңгейі арасында тығыз байланыс болғанымен, жаңа туған нәрестенің басқа темір параметрлерімен (қан сарысуындағы ферритин, sTFR) сәйкес келмеген. Жүктілік алдындағы ДСИ топтары бойынша кіндікбау қанының гепсидин деңгейінде айырмашылықтар болмаған. </w:t>
      </w:r>
    </w:p>
    <w:p w14:paraId="5A148DCC">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val="kk-KZ" w:eastAsia="ru-RU"/>
        </w:rPr>
      </w:pPr>
      <w:r>
        <w:rPr>
          <w:rFonts w:ascii="Times New Roman" w:hAnsi="Times New Roman" w:eastAsia="Times New Roman" w:cs="Times New Roman"/>
          <w:sz w:val="28"/>
          <w:szCs w:val="28"/>
          <w:lang w:val="kk-KZ" w:eastAsia="ru-RU"/>
        </w:rPr>
        <w:t>Ана темір статусы ферритинге, sTFR–ға және кіндікбау қанындағы ферритинге қатынасына әсер етпеген. Бұл жағдай плаценталық темір рецепторларының ұлғаюы ұрықтың темір деңгейін жеткілікті қамтамасыз етуде маңызды рөл атқара алатынын көрсетеді.</w:t>
      </w:r>
    </w:p>
    <w:p w14:paraId="6190B894">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val="kk-KZ" w:eastAsia="ru-RU"/>
        </w:rPr>
      </w:pPr>
      <w:r>
        <w:rPr>
          <w:rFonts w:ascii="Times New Roman" w:hAnsi="Times New Roman" w:eastAsia="Times New Roman" w:cs="Times New Roman"/>
          <w:sz w:val="28"/>
          <w:szCs w:val="28"/>
          <w:lang w:val="kk-KZ" w:eastAsia="ru-RU"/>
        </w:rPr>
        <w:t xml:space="preserve"> </w:t>
      </w:r>
    </w:p>
    <w:p w14:paraId="0805EE12">
      <w:pPr>
        <w:widowControl w:val="0"/>
        <w:autoSpaceDE w:val="0"/>
        <w:autoSpaceDN w:val="0"/>
        <w:spacing w:after="0" w:line="276" w:lineRule="auto"/>
        <w:ind w:firstLine="709"/>
        <w:jc w:val="both"/>
        <w:outlineLvl w:val="0"/>
        <w:rPr>
          <w:rFonts w:ascii="Times New Roman" w:hAnsi="Times New Roman" w:eastAsia="Times New Roman" w:cs="Times New Roman"/>
          <w:b/>
          <w:sz w:val="28"/>
          <w:szCs w:val="28"/>
          <w:lang w:val="kk-KZ" w:eastAsia="ru-RU"/>
        </w:rPr>
      </w:pPr>
      <w:r>
        <w:rPr>
          <w:rFonts w:ascii="Times New Roman" w:hAnsi="Times New Roman" w:eastAsia="Times New Roman" w:cs="Times New Roman"/>
          <w:b/>
          <w:sz w:val="28"/>
          <w:szCs w:val="28"/>
          <w:lang w:val="kk-KZ" w:eastAsia="ru-RU"/>
        </w:rPr>
        <w:t>1.5 Әйелдердегі предгестациялық артық салмақ пен семіздіктің нәрестелердің темір статусына әсері</w:t>
      </w:r>
    </w:p>
    <w:p w14:paraId="668AD605">
      <w:pPr>
        <w:widowControl w:val="0"/>
        <w:autoSpaceDE w:val="0"/>
        <w:autoSpaceDN w:val="0"/>
        <w:spacing w:after="0" w:line="276" w:lineRule="auto"/>
        <w:ind w:firstLine="709"/>
        <w:jc w:val="both"/>
        <w:outlineLvl w:val="0"/>
        <w:rPr>
          <w:rFonts w:ascii="Times New Roman" w:hAnsi="Times New Roman" w:eastAsia="Times New Roman" w:cs="Times New Roman"/>
          <w:b/>
          <w:sz w:val="28"/>
          <w:szCs w:val="28"/>
          <w:lang w:val="kk-KZ" w:eastAsia="ru-RU"/>
        </w:rPr>
      </w:pPr>
      <w:r>
        <w:rPr>
          <w:rFonts w:ascii="Times New Roman" w:hAnsi="Times New Roman" w:eastAsia="Times New Roman" w:cs="Times New Roman"/>
          <w:b/>
          <w:sz w:val="28"/>
          <w:szCs w:val="28"/>
          <w:lang w:val="kk-KZ" w:eastAsia="ru-RU"/>
        </w:rPr>
        <w:t xml:space="preserve"> </w:t>
      </w:r>
    </w:p>
    <w:p w14:paraId="77416178">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val="kk-KZ" w:eastAsia="ru-RU"/>
        </w:rPr>
      </w:pPr>
      <w:r>
        <w:rPr>
          <w:rFonts w:ascii="Times New Roman" w:hAnsi="Times New Roman" w:eastAsia="Times New Roman" w:cs="Times New Roman"/>
          <w:sz w:val="28"/>
          <w:szCs w:val="28"/>
          <w:lang w:val="kk-KZ" w:eastAsia="ru-RU"/>
        </w:rPr>
        <w:t>Анадағы семіздік ұрықтың макросомия қаупін арттырады [56]. Туу салмағының осылай артуы негізінен май массасының көбеюіне байланысты болады [107]. Туылған кездегі май тіндерінің жоғары массасы баланың кейінгі өмірінде семіздікке бейімділігін арттыруы мүмкін [57, 141]. Бұл жағдай төмен деңгейлі қабынуға, гепсидиннің жоғарылауына және уақыт өте келе қабыну анемиясының дамуына әкелуі мүмкін. Кейбір зерттеулерде кіндікбау сарысуындағы ферритиннің 75 мг/л төмен деңгейі балалардың моторикалық қалыптасуы мен сөйлеуіне кері әсер етуі мүмкін деп сипатталады, ал басқа зерттеулер кіндікбау қанындағы ферритиннің 76 мг/л төмен болуы балалардың нейродаму нәтижелерімен байланысын растамаған [142, 143, 144].</w:t>
      </w:r>
    </w:p>
    <w:p w14:paraId="22861616">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val="kk-KZ" w:eastAsia="ru-RU"/>
        </w:rPr>
      </w:pPr>
      <w:r>
        <w:rPr>
          <w:rFonts w:ascii="Times New Roman" w:hAnsi="Times New Roman" w:eastAsia="Times New Roman" w:cs="Times New Roman"/>
          <w:sz w:val="28"/>
          <w:szCs w:val="28"/>
          <w:lang w:val="kk-KZ" w:eastAsia="ru-RU"/>
        </w:rPr>
        <w:t>Flynn және әріптестері [18] ана семіздігінің жаңа туған нәрестенің темір статусына ықпалын зерттеу үшін босану кезінде алынған қанның қабыну және темір алмасу маркерлерін зерттеді. Бір айнымалы талдауда, семіздігі бар әйелдерден туылған нәрестелердің қанындағы орташа ферритин деңгейі төмен болды. Алайда, бұл байланыс жүктілік жасы, босану режимі, ана темекі шегу статусы және этникалық факторларды ескеріп түзету жасағанда айқын болмады. Қызығы, этникалық айырмашылықтар да байқалды: қара нәсілді аналардан туылған нәрестелердің қанындағы ферритин деңгейі ақ нәсілді аналардан туылған нәрестелермен салыстырғанда төмен болды. Dosch және басқалар (85 жүкті әйелді зерттегенде; n=34 ДСИ &lt; 30 және n=51 ДСИ ≥30) ана ДСИ–інің жоғары болуы кіндікбау плазмасындағы ферритинмен теріс, ал СРА деңгейімен оң байланыста екенін анықтады [145]. Сонымен қатар, кіндікбау гепсидині ана ДСИ–мен немесе қабыну статусымен байланысты болмаған, бірақ ол гемоглобинмен теріс, ферритин деңгейімен оң байланыста болған. Авторлар ДСИ ≥35 болған әйелдерде (n=16) кіндікбау қанындағы қабыну маркерлері (СРА, ИЛ–6 және Т–альфа некротикалық фактор) ДСИ &lt; 35 болған әйелдерге қарағанда айтарлықтай жоғары екенін анықтады, әсіресе қант диабеті жағдайды күрделендіреді. Бұл нәтижелер жүктілік кезінде семіздік қабыну реакциясын іске қосып, жаңа туған нәрестенің темір деңгейіне кері әсерін тигізуі мүмкін деген тұжырымды қолдайды.</w:t>
      </w:r>
      <w:r>
        <w:rPr>
          <w:rFonts w:hint="default" w:ascii="Times New Roman" w:hAnsi="Times New Roman" w:eastAsia="Times New Roman" w:cs="Times New Roman"/>
          <w:sz w:val="28"/>
          <w:szCs w:val="28"/>
          <w:lang w:val="kk-KZ" w:eastAsia="ru-RU"/>
        </w:rPr>
        <w:t xml:space="preserve"> </w:t>
      </w:r>
      <w:r>
        <w:rPr>
          <w:rFonts w:ascii="Times New Roman" w:hAnsi="Times New Roman" w:eastAsia="Times New Roman" w:cs="Times New Roman"/>
          <w:sz w:val="28"/>
          <w:szCs w:val="28"/>
          <w:lang w:val="kk-KZ" w:eastAsia="ru-RU"/>
        </w:rPr>
        <w:t>Керісінше, Cао және әріптестері [89] жасөспірімдік семіздігі бар аналардан туылған нәрестелерде, ДСИ қалыпты аналармен салыстырғанда кіндікбау қанының темір және гемоглобин деңгейі жоғары екенін хабарлады. Темір статусын өлшейтін басқа көрсеткіштердің ешқайсысы гестациялық салмақ қосу немесе предгестациялық ДСИ деңгейімен маңызды байланыс көрсетпеді. Бұл зерттеуде нәрестелердегі анемия мен ТТ-ның жоғары болу деңгейі диеталық темірдің тікелей емес жеткізілуі секілді факторлармен байланысты болуы мүмкін деген тұжырым жасалды.</w:t>
      </w:r>
      <w:r>
        <w:rPr>
          <w:rFonts w:hint="default" w:ascii="Times New Roman" w:hAnsi="Times New Roman" w:eastAsia="Times New Roman" w:cs="Times New Roman"/>
          <w:sz w:val="28"/>
          <w:szCs w:val="28"/>
          <w:lang w:val="kk-KZ" w:eastAsia="ru-RU"/>
        </w:rPr>
        <w:t xml:space="preserve"> </w:t>
      </w:r>
      <w:r>
        <w:rPr>
          <w:rFonts w:ascii="Times New Roman" w:hAnsi="Times New Roman" w:eastAsia="Times New Roman" w:cs="Times New Roman"/>
          <w:sz w:val="28"/>
          <w:szCs w:val="28"/>
          <w:lang w:val="kk-KZ" w:eastAsia="ru-RU"/>
        </w:rPr>
        <w:t>MacQueen және әріптестері [146] жоғары қауіп–қатерлі топқа жататын нәрестелердің 180 кіндікбау қанын тексеріп, ТТ бар 16 нәрестенің барлығы семіздігі бар аналардан туылғанын анықтады. Бұл зерттеуде аналардың ешқайсысы анемияға шалдықпағанымен, төртеуінде темір деңгейі төмен болды. Авторлар семіздігі бар аналарда темірдің плаценталық тасымалына әсер етуі мүмкін деген болжам жасайды, бұл гипотеза қосымша зерттеулерді қажет етеді.</w:t>
      </w:r>
      <w:r>
        <w:rPr>
          <w:rFonts w:hint="default" w:ascii="Times New Roman" w:hAnsi="Times New Roman" w:eastAsia="Times New Roman" w:cs="Times New Roman"/>
          <w:sz w:val="28"/>
          <w:szCs w:val="28"/>
          <w:lang w:val="kk-KZ" w:eastAsia="ru-RU"/>
        </w:rPr>
        <w:t xml:space="preserve"> </w:t>
      </w:r>
      <w:r>
        <w:rPr>
          <w:rFonts w:ascii="Times New Roman" w:hAnsi="Times New Roman" w:eastAsia="Times New Roman" w:cs="Times New Roman"/>
          <w:sz w:val="28"/>
          <w:szCs w:val="28"/>
          <w:lang w:val="kk-KZ" w:eastAsia="ru-RU"/>
        </w:rPr>
        <w:t>Phillips және әріптестері [147] жүктілік кезіндегі анадағы семіздік пен артық салмақтың жаңа туған нәрестедегі темір қорын төмендететінін хабарлады. Жүктілік алдындағы семіздігі бар әйелдердің 28,5%–ы артық салмақ жинаған, бұл гестациялық салмақ қосу ұсынысынан 27,5%–ға артық болған. Семіздігі бар аналардан туылған нәрестелердің кіндікбау сарысуындағы ферритин деңгейі едәуір төмен, ал гемоглобин деңгейі жоғары болған. Кіндікбау сарысуындағы СРА деңгейі анадағы семіздікпен байланысты болмады, бірақ артық салмақ қосу жағдайында байланыс байқалды. Зерттеу нәтижелері негізінде авторлар жүктілік алдындағы семіздік пен шамадан тыс салмақ қосуды жаңа туған нәрестелердегі темір профиліне қатысты қауіп факторлары ретінде бағалауға болады деген тұжырымға келді.</w:t>
      </w:r>
    </w:p>
    <w:p w14:paraId="0D0A087C">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val="kk-KZ" w:eastAsia="ru-RU"/>
        </w:rPr>
      </w:pPr>
      <w:r>
        <w:rPr>
          <w:rFonts w:ascii="Times New Roman" w:hAnsi="Times New Roman" w:eastAsia="Times New Roman" w:cs="Times New Roman"/>
          <w:sz w:val="28"/>
          <w:szCs w:val="28"/>
          <w:lang w:val="kk-KZ" w:eastAsia="ru-RU"/>
        </w:rPr>
        <w:t xml:space="preserve"> </w:t>
      </w:r>
    </w:p>
    <w:p w14:paraId="54F44341">
      <w:pPr>
        <w:widowControl w:val="0"/>
        <w:autoSpaceDE w:val="0"/>
        <w:autoSpaceDN w:val="0"/>
        <w:spacing w:after="0" w:line="276" w:lineRule="auto"/>
        <w:ind w:firstLine="709"/>
        <w:jc w:val="both"/>
        <w:outlineLvl w:val="0"/>
        <w:rPr>
          <w:rFonts w:ascii="Times New Roman" w:hAnsi="Times New Roman" w:eastAsia="Times New Roman" w:cs="Times New Roman"/>
          <w:b/>
          <w:bCs/>
          <w:sz w:val="28"/>
          <w:szCs w:val="28"/>
          <w:lang w:val="kk-KZ" w:eastAsia="ru-RU"/>
        </w:rPr>
      </w:pPr>
      <w:r>
        <w:rPr>
          <w:rFonts w:ascii="Times New Roman" w:hAnsi="Times New Roman" w:eastAsia="Times New Roman" w:cs="Times New Roman"/>
          <w:b/>
          <w:sz w:val="28"/>
          <w:szCs w:val="28"/>
          <w:lang w:val="kk-KZ" w:eastAsia="ru-RU"/>
        </w:rPr>
        <w:t xml:space="preserve">1.6 </w:t>
      </w:r>
      <w:r>
        <w:rPr>
          <w:rFonts w:ascii="Times New Roman" w:hAnsi="Times New Roman" w:eastAsia="Times New Roman" w:cs="Times New Roman"/>
          <w:b/>
          <w:bCs/>
          <w:color w:val="000000"/>
          <w:sz w:val="28"/>
          <w:szCs w:val="28"/>
          <w:lang w:val="kk-KZ" w:eastAsia="ru-RU"/>
        </w:rPr>
        <w:t>Семіздігі бар ж</w:t>
      </w:r>
      <w:r>
        <w:rPr>
          <w:rFonts w:ascii="Times New Roman" w:hAnsi="Times New Roman" w:eastAsia="Times New Roman" w:cs="Times New Roman"/>
          <w:b/>
          <w:bCs/>
          <w:sz w:val="28"/>
          <w:szCs w:val="28"/>
          <w:lang w:val="kk-KZ" w:eastAsia="ru-RU"/>
        </w:rPr>
        <w:t>үктілілердің темір статусының параметрлеріне диеталық араласулар мен темір қоспаларының әсері</w:t>
      </w:r>
    </w:p>
    <w:p w14:paraId="39C4F605">
      <w:pPr>
        <w:widowControl w:val="0"/>
        <w:autoSpaceDE w:val="0"/>
        <w:autoSpaceDN w:val="0"/>
        <w:spacing w:after="0" w:line="276" w:lineRule="auto"/>
        <w:ind w:firstLine="709"/>
        <w:jc w:val="both"/>
        <w:outlineLvl w:val="0"/>
        <w:rPr>
          <w:rFonts w:ascii="Times New Roman" w:hAnsi="Times New Roman" w:eastAsia="Times New Roman" w:cs="Times New Roman"/>
          <w:b/>
          <w:bCs/>
          <w:sz w:val="28"/>
          <w:szCs w:val="28"/>
          <w:lang w:val="kk-KZ" w:eastAsia="ru-RU"/>
        </w:rPr>
      </w:pPr>
      <w:r>
        <w:rPr>
          <w:rFonts w:ascii="Times New Roman" w:hAnsi="Times New Roman" w:eastAsia="Times New Roman" w:cs="Times New Roman"/>
          <w:b/>
          <w:bCs/>
          <w:sz w:val="28"/>
          <w:szCs w:val="28"/>
          <w:lang w:val="kk-KZ" w:eastAsia="ru-RU"/>
        </w:rPr>
        <w:t xml:space="preserve"> </w:t>
      </w:r>
    </w:p>
    <w:p w14:paraId="43D330E9">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val="kk-KZ" w:eastAsia="ru-RU"/>
        </w:rPr>
      </w:pPr>
      <w:r>
        <w:rPr>
          <w:rFonts w:ascii="Times New Roman" w:hAnsi="Times New Roman" w:eastAsia="Times New Roman" w:cs="Times New Roman"/>
          <w:sz w:val="28"/>
          <w:szCs w:val="28"/>
          <w:lang w:val="kk-KZ" w:eastAsia="ru-RU"/>
        </w:rPr>
        <w:t>Темір тапшылығын емдеудің дәстүрлі әдісі — темір қоспаларын қабылдау. Дегенмен, зерттеулер қалыпты дене салмағы бар адамдармен салыстырғанда, артық салмағы немесе семіздігі бар адамдарда темір қоспаларының тиімділігі айтарлықтай төмен екенін көрсетті [11, 148]. Бұл құбылыс артық салмақ пен семіздікте байқалатын сарысудағы гепсидин деңгейінің жоғарылауына байланысты темір сіңуінің төмендеуімен түсіндіріледі [125]. Энергияны шектейтін диета немесе жаттығулар арқылы салмақ жоғалту гипоферемияны жақсартып, темір гомеостазын қалпына келтіруге көмектеседі [149]. Сонымен қатар, май тінінің азаюы қабынуға қарсы цитокиндер деңгейінің өзгеруіне әкеледі, бұл гепсидиннің төмендеуіне және темір статусының жақсаруына себеп болуы мүмкін [150, 151].</w:t>
      </w:r>
      <w:r>
        <w:rPr>
          <w:rFonts w:hint="default" w:ascii="Times New Roman" w:hAnsi="Times New Roman" w:eastAsia="Times New Roman" w:cs="Times New Roman"/>
          <w:sz w:val="28"/>
          <w:szCs w:val="28"/>
          <w:lang w:val="kk-KZ" w:eastAsia="ru-RU"/>
        </w:rPr>
        <w:t xml:space="preserve"> </w:t>
      </w:r>
      <w:r>
        <w:rPr>
          <w:rFonts w:ascii="Times New Roman" w:hAnsi="Times New Roman" w:eastAsia="Times New Roman" w:cs="Times New Roman"/>
          <w:sz w:val="28"/>
          <w:szCs w:val="28"/>
          <w:lang w:val="kk-KZ" w:eastAsia="ru-RU"/>
        </w:rPr>
        <w:t>Күрделі емес, сау жүктілік кезінде қалыпты салмағы бар әйелдерге қарағанда гепсидин деңгейі төмен болады [152]. Сонымен қатар, гепсидин деңгейі жүктіліктің бірінші және екінші триместрлеріне қарағанда үшінші триместрде төмен болады, бұл темірге деген жоғары талаптарды қанағаттандыру үшін маңызды [127, 33]. Алайда, анада қабыну немесе генетикалық бұзылулар болған жағдайда, темірге қажеттілік артады. Темірдің нашар сіңуінің қауіп факторы ретінде анадағы семіздік те қарастырылады. Семіздікпен өмір сүретін әйелдерде диеталық темірдің сіңірілуінің бұзылуы және ТТ мен ТТА негізгі себебі ретінде гепсидин деңгейінің жоғарылауы және дуоденальды ферропортиннің төмен деңгейі байқалады [120].</w:t>
      </w:r>
    </w:p>
    <w:p w14:paraId="18082859">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val="kk-KZ" w:eastAsia="ru-RU"/>
        </w:rPr>
      </w:pPr>
      <w:r>
        <w:rPr>
          <w:rFonts w:ascii="Times New Roman" w:hAnsi="Times New Roman" w:eastAsia="Times New Roman" w:cs="Times New Roman"/>
          <w:sz w:val="28"/>
          <w:szCs w:val="28"/>
          <w:lang w:val="kk-KZ" w:eastAsia="ru-RU"/>
        </w:rPr>
        <w:t>Flores–Quijano және әріптестері жүкті әйелдердің диетасын зерттеп, 30 мг темір қоспасын қабылдауды бақылаған [19]. Темір статусының әртүрлі маркерлері өлшенді, соның ішінде гепсидин, sTFR, ферритин, сарысу темірі және гемоглобин, сондай–ақ қабыну маркерлері (CРА, ИЛ–6 және лептин). Жүктілік алдындағы ДСИ темір статусының көрсеткіштерімен байланыссыз, бірақ қабыну маркерлерімен оң байланыста болды. Гестацияның 13–аптасында ферритин, лептин және гепсидинмен оң байланыс анықталды, ал 34–аптадағы зерттеу қалыпты салмақтағы әйелдерде темір күйінің барлық маркерлері гепсидинмен байланысқанын, бірақ қабыну маркерлерімен байланыспағанын көрсетті. Дегенмен, семіздік кезінде гепсидин, сарысу темірі және қабыну маркерлерінің жоғары деңгейі байқалды.</w:t>
      </w:r>
    </w:p>
    <w:p w14:paraId="0C009FAC">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val="kk-KZ" w:eastAsia="ru-RU"/>
        </w:rPr>
      </w:pPr>
      <w:r>
        <w:rPr>
          <w:rFonts w:ascii="Times New Roman" w:hAnsi="Times New Roman" w:eastAsia="Times New Roman" w:cs="Times New Roman"/>
          <w:sz w:val="28"/>
          <w:szCs w:val="28"/>
          <w:lang w:val="kk-KZ" w:eastAsia="ru-RU"/>
        </w:rPr>
        <w:t>Koeing және басқалар [153] жүктілік алдындағы семіздіктің үшінші триместрдегі темір пайдалануға әсер етпейтінін анықтау үшін тұрақты изотоп әдісін қолданды. Талдау барысында 50 әйелде гепсидин, гемоглобин, TSAT, ЭПО және ИЛ–6 деңгейлері бойынша айтарлықтай айырмашылық байқалмады. Дегенмен, семіздік санатындағы әйелдерде СРА және дене темірі деңгейі айтарлықтай жоғары болды. Үшінші триместрде темір сіңіру бойынша семіздігі бар және қалыпты салмақтағы әйелдер арасында айтарлықтай айырмашылық анықталмады.</w:t>
      </w:r>
    </w:p>
    <w:p w14:paraId="0EFA4BF3">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val="kk-KZ" w:eastAsia="ru-RU"/>
        </w:rPr>
      </w:pPr>
      <w:r>
        <w:rPr>
          <w:rFonts w:ascii="Times New Roman" w:hAnsi="Times New Roman" w:eastAsia="Times New Roman" w:cs="Times New Roman"/>
          <w:sz w:val="28"/>
          <w:szCs w:val="28"/>
          <w:lang w:val="kk-KZ" w:eastAsia="ru-RU"/>
        </w:rPr>
        <w:t xml:space="preserve"> </w:t>
      </w:r>
    </w:p>
    <w:p w14:paraId="3340612D">
      <w:pPr>
        <w:widowControl w:val="0"/>
        <w:autoSpaceDE w:val="0"/>
        <w:autoSpaceDN w:val="0"/>
        <w:spacing w:after="0" w:line="276" w:lineRule="auto"/>
        <w:ind w:firstLine="709"/>
        <w:jc w:val="both"/>
        <w:outlineLvl w:val="0"/>
        <w:rPr>
          <w:rFonts w:ascii="Times New Roman" w:hAnsi="Times New Roman" w:eastAsia="Times New Roman" w:cs="Times New Roman"/>
          <w:b/>
          <w:sz w:val="28"/>
          <w:szCs w:val="28"/>
          <w:lang w:val="kk-KZ" w:eastAsia="ru-RU"/>
        </w:rPr>
      </w:pPr>
      <w:r>
        <w:rPr>
          <w:rFonts w:ascii="Times New Roman" w:hAnsi="Times New Roman" w:eastAsia="Times New Roman" w:cs="Times New Roman"/>
          <w:b/>
          <w:sz w:val="28"/>
          <w:szCs w:val="28"/>
          <w:lang w:val="kk-KZ" w:eastAsia="ru-RU"/>
        </w:rPr>
        <w:t>Қорытынды</w:t>
      </w:r>
    </w:p>
    <w:p w14:paraId="47DCC228">
      <w:pPr>
        <w:widowControl w:val="0"/>
        <w:autoSpaceDE w:val="0"/>
        <w:autoSpaceDN w:val="0"/>
        <w:spacing w:after="0" w:line="276" w:lineRule="auto"/>
        <w:ind w:firstLine="709"/>
        <w:jc w:val="both"/>
        <w:outlineLvl w:val="0"/>
        <w:rPr>
          <w:rFonts w:ascii="Times New Roman" w:hAnsi="Times New Roman" w:eastAsia="Times New Roman" w:cs="Times New Roman"/>
          <w:b/>
          <w:sz w:val="28"/>
          <w:szCs w:val="28"/>
          <w:lang w:val="kk-KZ" w:eastAsia="ru-RU"/>
        </w:rPr>
      </w:pPr>
      <w:r>
        <w:rPr>
          <w:rFonts w:ascii="Times New Roman" w:hAnsi="Times New Roman" w:eastAsia="Times New Roman" w:cs="Times New Roman"/>
          <w:b/>
          <w:sz w:val="28"/>
          <w:szCs w:val="28"/>
          <w:lang w:val="kk-KZ" w:eastAsia="ru-RU"/>
        </w:rPr>
        <w:t xml:space="preserve"> </w:t>
      </w:r>
    </w:p>
    <w:p w14:paraId="7B1144F4">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val="kk-KZ" w:eastAsia="ru-RU"/>
        </w:rPr>
      </w:pPr>
      <w:r>
        <w:rPr>
          <w:rFonts w:ascii="Times New Roman" w:hAnsi="Times New Roman" w:eastAsia="Times New Roman" w:cs="Times New Roman"/>
          <w:sz w:val="28"/>
          <w:szCs w:val="28"/>
          <w:lang w:val="kk-KZ" w:eastAsia="ru-RU"/>
        </w:rPr>
        <w:t>Жүктілік алдындағы артық салмақ пен семіздік жүктілік және босанғаннан кейінгі кезеңде ана үшін де, бала үшін де ТТ және ТТА қаупін арттырады деген дәлелдер бар [16, 75, 76, 78, 138, 154, 177, 180]. Екінші триместрде жүргізілген зерттеулер семіз жүкті әйелдерде қабыну профилінің қалыптасқанын, олардың жоғары гепсидин, sTFR және ИЛ–6 деңгейлерімен қатар жоғары СРА бар екенін хабарлайды. Осылайша, артық салмақ пен семіздік ТТ және ТТА дамуында рөл атқарады [17, 145]. Бұдан басқа, босану кезінде жүктілік алдындағы ДСИ немесе ДСИ нәресте темір статусының көрсеткіштерімен кері байланыста болғаны анықталды [98, 155, 156]. Артық салмағы немесе семіздігі бар аналар акушерлік асқынулардың жоғарылауына және қан жоғалтуға байланысты ТТ және ТТА қаупіне бейім болады [156, 157, 158]. Сонымен қатар, қабыну темір метаболизміне әсер етпейтінін және семіздігі бар жас аналардан туған нәрестелерде дене темірі мен гемоглобин деңгейі қалыпты салмақтағы аналардан туған нәрестелермен салыстырғанда айтарлықтай жоғары болғанын көрсететін зерттеулер де бар [89]. TfR рецепторларының жоғары деңгейі әртүрлі ДСИ мәндері бар аналардың ұрықтың темір деңгейін қамтамасыз етуге ықпал етеді [16]. Дегенмен, семіздігі бар және қалыпты ДСИ бар аналардың плацентасының протеомикалық деректерінде айтарлықтай айырмашылықтар бар [106]. Үшінші триместрде диеталық темір сіңіруде семіздігі бар және қалыпты салмақтағы әйелдер арасында айырмашылық болмады [153].</w:t>
      </w:r>
    </w:p>
    <w:p w14:paraId="608F4F55">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val="kk-KZ" w:eastAsia="ru-RU"/>
        </w:rPr>
      </w:pPr>
      <w:r>
        <w:rPr>
          <w:rFonts w:ascii="Times New Roman" w:hAnsi="Times New Roman" w:eastAsia="Times New Roman" w:cs="Times New Roman"/>
          <w:sz w:val="28"/>
          <w:szCs w:val="28"/>
          <w:lang w:val="kk-KZ" w:eastAsia="ru-RU"/>
        </w:rPr>
        <w:t>Акушерлік қауымдастықта семіздік деңгейінің жоғарылауы болжануда [30, 31, 32]. Әдетте, семіз жүкті әйелдер жүктілік кезінде қалыпты салмақтағы әйелдерге қарағанда көбірек салмақ жинайды [83]. Жүктілік кезінде артық салмақ қосу қаупін төмендету үшін қарқынды дене жаттығулары, төмен калориялы немесе төмен көмірсулы диеталар тиімді болуы мүмкін [159, 160, 161]. Мұндай іс–шаралар жүктілік кезінде темір статусының оңтайлы деңгейін қамтамасыз етуде маңызды рөл атқаруы мүмкін.</w:t>
      </w:r>
    </w:p>
    <w:p w14:paraId="74E3521B">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val="kk-KZ" w:eastAsia="ru-RU"/>
        </w:rPr>
      </w:pPr>
      <w:r>
        <w:rPr>
          <w:rFonts w:ascii="Times New Roman" w:hAnsi="Times New Roman" w:eastAsia="Times New Roman" w:cs="Times New Roman"/>
          <w:sz w:val="28"/>
          <w:szCs w:val="28"/>
          <w:lang w:val="kk-KZ" w:eastAsia="ru-RU"/>
        </w:rPr>
        <w:t>Жалпы дәлелдер артық салмақ пен семіздік жүктілік кезінде және босанғаннан кейін ана мен баланың ТТ және ТТА қаупін арттыратынын көрсетеді [154]. Дегенмен, ана мен нәресте денсаулығын жақсарту үшін қосымша зерттеулер қажет. ТТ мен семіздік арасындағы байланыстарды зерттеуге бағытталған болашақ зерттеулер үшін клиникалық және лабораториялық деректер қажет, әсіресе Қазақстанда бұл салада зерттеулер әлі де аз. Сондықтан кешенді зерттеу қажет деп саналады.</w:t>
      </w:r>
    </w:p>
    <w:p w14:paraId="58B34591">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val="kk-KZ" w:eastAsia="ru-RU"/>
        </w:rPr>
      </w:pPr>
    </w:p>
    <w:p w14:paraId="7080BACB">
      <w:pPr>
        <w:widowControl w:val="0"/>
        <w:autoSpaceDE w:val="0"/>
        <w:autoSpaceDN w:val="0"/>
        <w:spacing w:after="0" w:line="276" w:lineRule="auto"/>
        <w:ind w:firstLine="709"/>
        <w:jc w:val="center"/>
        <w:outlineLvl w:val="0"/>
        <w:rPr>
          <w:rFonts w:ascii="Times New Roman" w:hAnsi="Times New Roman" w:eastAsia="Times New Roman" w:cs="Times New Roman"/>
          <w:b/>
          <w:bCs/>
          <w:kern w:val="36"/>
          <w:sz w:val="28"/>
          <w:szCs w:val="28"/>
          <w:lang w:val="kk-KZ" w:eastAsia="ru-RU"/>
        </w:rPr>
      </w:pPr>
      <w:r>
        <w:rPr>
          <w:rFonts w:ascii="Times New Roman" w:hAnsi="Times New Roman" w:eastAsia="Times New Roman" w:cs="Times New Roman"/>
          <w:b/>
          <w:bCs/>
          <w:kern w:val="36"/>
          <w:sz w:val="28"/>
          <w:szCs w:val="28"/>
          <w:lang w:val="kk-KZ" w:eastAsia="ru-RU"/>
        </w:rPr>
        <w:t>БӨЛІМ 2. НАУҚАСТАРДЫҢ КЛИНИКАЛЫҚ СИПАТТАМАЛАРЫ МЕН ЗЕРТЕУ ӘДІСТЕРІ</w:t>
      </w:r>
    </w:p>
    <w:p w14:paraId="158AE5E6">
      <w:pPr>
        <w:widowControl w:val="0"/>
        <w:autoSpaceDE w:val="0"/>
        <w:autoSpaceDN w:val="0"/>
        <w:spacing w:after="0" w:line="276" w:lineRule="auto"/>
        <w:ind w:firstLine="709"/>
        <w:jc w:val="both"/>
        <w:outlineLvl w:val="0"/>
        <w:rPr>
          <w:rFonts w:ascii="Times New Roman" w:hAnsi="Times New Roman" w:eastAsia="Times New Roman" w:cs="Times New Roman"/>
          <w:b/>
          <w:bCs/>
          <w:kern w:val="36"/>
          <w:sz w:val="28"/>
          <w:szCs w:val="28"/>
          <w:lang w:val="kk-KZ" w:eastAsia="ru-RU"/>
        </w:rPr>
      </w:pPr>
      <w:r>
        <w:rPr>
          <w:rFonts w:ascii="Times New Roman" w:hAnsi="Times New Roman" w:eastAsia="Times New Roman" w:cs="Times New Roman"/>
          <w:b/>
          <w:bCs/>
          <w:kern w:val="36"/>
          <w:sz w:val="28"/>
          <w:szCs w:val="28"/>
          <w:lang w:val="kk-KZ" w:eastAsia="ru-RU"/>
        </w:rPr>
        <w:t xml:space="preserve"> </w:t>
      </w:r>
    </w:p>
    <w:p w14:paraId="0CA26E9E">
      <w:pPr>
        <w:widowControl w:val="0"/>
        <w:autoSpaceDE w:val="0"/>
        <w:autoSpaceDN w:val="0"/>
        <w:spacing w:after="0" w:line="276" w:lineRule="auto"/>
        <w:ind w:firstLine="709"/>
        <w:jc w:val="both"/>
        <w:outlineLvl w:val="0"/>
        <w:rPr>
          <w:rFonts w:ascii="Times New Roman" w:hAnsi="Times New Roman" w:eastAsia="Times New Roman" w:cs="Times New Roman"/>
          <w:b/>
          <w:sz w:val="28"/>
          <w:szCs w:val="28"/>
          <w:lang w:val="kk-KZ" w:eastAsia="ru-RU"/>
        </w:rPr>
      </w:pPr>
      <w:r>
        <w:rPr>
          <w:rFonts w:ascii="Times New Roman" w:hAnsi="Times New Roman" w:eastAsia="Times New Roman" w:cs="Times New Roman"/>
          <w:b/>
          <w:sz w:val="28"/>
          <w:szCs w:val="28"/>
          <w:lang w:val="kk-KZ" w:eastAsia="ru-RU"/>
        </w:rPr>
        <w:t>2.1 Зерттеу барысының жалпы сипаттамалары және EVOLIS құрылғысы жайлы</w:t>
      </w:r>
    </w:p>
    <w:p w14:paraId="4E7A5081">
      <w:pPr>
        <w:widowControl w:val="0"/>
        <w:autoSpaceDE w:val="0"/>
        <w:autoSpaceDN w:val="0"/>
        <w:spacing w:after="0" w:line="276" w:lineRule="auto"/>
        <w:ind w:firstLine="709"/>
        <w:jc w:val="both"/>
        <w:outlineLvl w:val="0"/>
        <w:rPr>
          <w:rFonts w:ascii="Times New Roman" w:hAnsi="Times New Roman" w:eastAsia="Times New Roman" w:cs="Times New Roman"/>
          <w:b/>
          <w:sz w:val="28"/>
          <w:szCs w:val="28"/>
          <w:lang w:val="kk-KZ" w:eastAsia="ru-RU"/>
        </w:rPr>
      </w:pPr>
      <w:r>
        <w:rPr>
          <w:rFonts w:ascii="Times New Roman" w:hAnsi="Times New Roman" w:eastAsia="Times New Roman" w:cs="Times New Roman"/>
          <w:b/>
          <w:sz w:val="28"/>
          <w:szCs w:val="28"/>
          <w:lang w:val="kk-KZ" w:eastAsia="ru-RU"/>
        </w:rPr>
        <w:t xml:space="preserve"> </w:t>
      </w:r>
    </w:p>
    <w:p w14:paraId="456F4C0A">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val="kk-KZ" w:eastAsia="ru-RU"/>
        </w:rPr>
      </w:pPr>
      <w:r>
        <w:rPr>
          <w:lang w:eastAsia="ru-RU"/>
        </w:rPr>
        <mc:AlternateContent>
          <mc:Choice Requires="wpg">
            <w:drawing>
              <wp:anchor distT="0" distB="0" distL="114300" distR="114300" simplePos="0" relativeHeight="251660288" behindDoc="0" locked="0" layoutInCell="1" allowOverlap="1">
                <wp:simplePos x="0" y="0"/>
                <wp:positionH relativeFrom="margin">
                  <wp:posOffset>221615</wp:posOffset>
                </wp:positionH>
                <wp:positionV relativeFrom="paragraph">
                  <wp:posOffset>2340610</wp:posOffset>
                </wp:positionV>
                <wp:extent cx="5143500" cy="5048250"/>
                <wp:effectExtent l="4445" t="0" r="14605" b="19685"/>
                <wp:wrapNone/>
                <wp:docPr id="2" name="Group 20"/>
                <wp:cNvGraphicFramePr/>
                <a:graphic xmlns:a="http://schemas.openxmlformats.org/drawingml/2006/main">
                  <a:graphicData uri="http://schemas.microsoft.com/office/word/2010/wordprocessingGroup">
                    <wpg:wgp>
                      <wpg:cNvGrpSpPr/>
                      <wpg:grpSpPr>
                        <a:xfrm>
                          <a:off x="0" y="0"/>
                          <a:ext cx="5143500" cy="5048250"/>
                          <a:chOff x="0" y="52964"/>
                          <a:chExt cx="7797113" cy="4325375"/>
                        </a:xfrm>
                      </wpg:grpSpPr>
                      <wps:wsp>
                        <wps:cNvPr id="1773774935" name="Rectangle 1773774935"/>
                        <wps:cNvSpPr/>
                        <wps:spPr>
                          <a:xfrm>
                            <a:off x="2780270" y="700875"/>
                            <a:ext cx="2286000" cy="914400"/>
                          </a:xfrm>
                          <a:prstGeom prst="rect">
                            <a:avLst/>
                          </a:prstGeom>
                          <a:solidFill>
                            <a:schemeClr val="tx2">
                              <a:lumMod val="40000"/>
                              <a:lumOff val="60000"/>
                            </a:schemeClr>
                          </a:solidFill>
                        </wps:spPr>
                        <wps:style>
                          <a:lnRef idx="1">
                            <a:schemeClr val="accent1"/>
                          </a:lnRef>
                          <a:fillRef idx="3">
                            <a:schemeClr val="accent1"/>
                          </a:fillRef>
                          <a:effectRef idx="2">
                            <a:schemeClr val="accent1"/>
                          </a:effectRef>
                          <a:fontRef idx="minor">
                            <a:schemeClr val="lt1"/>
                          </a:fontRef>
                        </wps:style>
                        <wps:txbx>
                          <w:txbxContent>
                            <w:p w14:paraId="47F67BC3">
                              <w:pPr>
                                <w:spacing w:after="0" w:line="240" w:lineRule="auto"/>
                                <w:jc w:val="center"/>
                                <w:rPr>
                                  <w:rFonts w:ascii="Times New Roman" w:hAnsi="Times New Roman" w:cs="Times New Roman"/>
                                  <w:color w:val="000000" w:themeColor="text1"/>
                                  <w:kern w:val="24"/>
                                  <w:sz w:val="28"/>
                                  <w:szCs w:val="28"/>
                                  <w:lang w:val="kk-KZ"/>
                                  <w14:textFill>
                                    <w14:solidFill>
                                      <w14:schemeClr w14:val="tx1"/>
                                    </w14:solidFill>
                                  </w14:textFill>
                                </w:rPr>
                              </w:pPr>
                              <w:r>
                                <w:rPr>
                                  <w:rFonts w:ascii="Times New Roman" w:hAnsi="Times New Roman" w:cs="Times New Roman"/>
                                  <w:color w:val="000000" w:themeColor="text1"/>
                                  <w:kern w:val="24"/>
                                  <w:sz w:val="28"/>
                                  <w:szCs w:val="28"/>
                                  <w:lang w:val="kk-KZ"/>
                                  <w14:textFill>
                                    <w14:solidFill>
                                      <w14:schemeClr w14:val="tx1"/>
                                    </w14:solidFill>
                                  </w14:textFill>
                                </w:rPr>
                                <w:t xml:space="preserve">Жалпы </w:t>
                              </w:r>
                            </w:p>
                            <w:p w14:paraId="55F6C9EC">
                              <w:pPr>
                                <w:spacing w:after="0" w:line="240" w:lineRule="auto"/>
                                <w:jc w:val="center"/>
                                <w:rPr>
                                  <w:rFonts w:ascii="Times New Roman" w:hAnsi="Times New Roman" w:cs="Times New Roman"/>
                                  <w:color w:val="000000" w:themeColor="text1"/>
                                  <w:kern w:val="24"/>
                                  <w:sz w:val="28"/>
                                  <w:szCs w:val="28"/>
                                  <w:lang w:val="kk-KZ"/>
                                  <w14:textFill>
                                    <w14:solidFill>
                                      <w14:schemeClr w14:val="tx1"/>
                                    </w14:solidFill>
                                  </w14:textFill>
                                </w:rPr>
                              </w:pPr>
                              <w:r>
                                <w:rPr>
                                  <w:rFonts w:ascii="Times New Roman" w:hAnsi="Times New Roman" w:cs="Times New Roman"/>
                                  <w:color w:val="000000" w:themeColor="text1"/>
                                  <w:kern w:val="24"/>
                                  <w:sz w:val="28"/>
                                  <w:szCs w:val="28"/>
                                  <w:lang w:val="kk-KZ"/>
                                  <w14:textFill>
                                    <w14:solidFill>
                                      <w14:schemeClr w14:val="tx1"/>
                                    </w14:solidFill>
                                  </w14:textFill>
                                </w:rPr>
                                <w:t>қатысушылар саны</w:t>
                              </w:r>
                            </w:p>
                            <w:p w14:paraId="77AD33A7">
                              <w:pPr>
                                <w:spacing w:after="0" w:line="240" w:lineRule="auto"/>
                                <w:jc w:val="center"/>
                                <w:rPr>
                                  <w:rFonts w:ascii="Times New Roman" w:hAnsi="Times New Roman" w:cs="Times New Roman"/>
                                  <w:color w:val="000000" w:themeColor="text1"/>
                                  <w:kern w:val="24"/>
                                  <w:sz w:val="28"/>
                                  <w:szCs w:val="28"/>
                                  <w14:textFill>
                                    <w14:solidFill>
                                      <w14:schemeClr w14:val="tx1"/>
                                    </w14:solidFill>
                                  </w14:textFill>
                                </w:rPr>
                              </w:pPr>
                              <w:r>
                                <w:rPr>
                                  <w:rFonts w:ascii="Times New Roman" w:hAnsi="Times New Roman" w:cs="Times New Roman"/>
                                  <w:color w:val="000000" w:themeColor="text1"/>
                                  <w:kern w:val="24"/>
                                  <w:sz w:val="28"/>
                                  <w:szCs w:val="28"/>
                                  <w14:textFill>
                                    <w14:solidFill>
                                      <w14:schemeClr w14:val="tx1"/>
                                    </w14:solidFill>
                                  </w14:textFill>
                                </w:rPr>
                                <w:t>(</w:t>
                              </w:r>
                              <w:r>
                                <w:rPr>
                                  <w:rFonts w:ascii="Times New Roman" w:hAnsi="Times New Roman" w:cs="Times New Roman"/>
                                  <w:color w:val="000000" w:themeColor="text1"/>
                                  <w:kern w:val="24"/>
                                  <w:sz w:val="28"/>
                                  <w:szCs w:val="28"/>
                                  <w:lang w:val="kk-KZ"/>
                                  <w14:textFill>
                                    <w14:solidFill>
                                      <w14:schemeClr w14:val="tx1"/>
                                    </w14:solidFill>
                                  </w14:textFill>
                                </w:rPr>
                                <w:t>n=167</w:t>
                              </w:r>
                              <w:r>
                                <w:rPr>
                                  <w:rFonts w:ascii="Times New Roman" w:hAnsi="Times New Roman" w:cs="Times New Roman"/>
                                  <w:color w:val="000000" w:themeColor="text1"/>
                                  <w:kern w:val="24"/>
                                  <w:sz w:val="28"/>
                                  <w:szCs w:val="28"/>
                                  <w14:textFill>
                                    <w14:solidFill>
                                      <w14:schemeClr w14:val="tx1"/>
                                    </w14:solidFill>
                                  </w14:textFill>
                                </w:rPr>
                                <w:t>)</w:t>
                              </w:r>
                            </w:p>
                          </w:txbxContent>
                        </wps:txbx>
                        <wps:bodyPr rtlCol="0" anchor="ctr"/>
                      </wps:wsp>
                      <wps:wsp>
                        <wps:cNvPr id="102601536" name="Rectangle 102601536"/>
                        <wps:cNvSpPr/>
                        <wps:spPr>
                          <a:xfrm>
                            <a:off x="696316" y="2101077"/>
                            <a:ext cx="2905797" cy="914055"/>
                          </a:xfrm>
                          <a:prstGeom prst="rect">
                            <a:avLst/>
                          </a:prstGeom>
                          <a:solidFill>
                            <a:schemeClr val="tx2">
                              <a:lumMod val="40000"/>
                              <a:lumOff val="60000"/>
                            </a:schemeClr>
                          </a:solidFill>
                        </wps:spPr>
                        <wps:style>
                          <a:lnRef idx="1">
                            <a:schemeClr val="accent1"/>
                          </a:lnRef>
                          <a:fillRef idx="3">
                            <a:schemeClr val="accent1"/>
                          </a:fillRef>
                          <a:effectRef idx="2">
                            <a:schemeClr val="accent1"/>
                          </a:effectRef>
                          <a:fontRef idx="minor">
                            <a:schemeClr val="lt1"/>
                          </a:fontRef>
                        </wps:style>
                        <wps:txbx>
                          <w:txbxContent>
                            <w:p w14:paraId="00836A62">
                              <w:pPr>
                                <w:spacing w:after="0" w:line="240" w:lineRule="auto"/>
                                <w:jc w:val="center"/>
                                <w:rPr>
                                  <w:rFonts w:ascii="Times New Roman" w:hAnsi="Times New Roman" w:cs="Times New Roman"/>
                                  <w:color w:val="000000" w:themeColor="text1"/>
                                  <w:kern w:val="24"/>
                                  <w:sz w:val="28"/>
                                  <w:szCs w:val="28"/>
                                  <w:lang w:val="kk-KZ"/>
                                  <w14:textFill>
                                    <w14:solidFill>
                                      <w14:schemeClr w14:val="tx1"/>
                                    </w14:solidFill>
                                  </w14:textFill>
                                </w:rPr>
                              </w:pPr>
                              <w:r>
                                <w:rPr>
                                  <w:rFonts w:ascii="Times New Roman" w:hAnsi="Times New Roman" w:cs="Times New Roman"/>
                                  <w:color w:val="000000" w:themeColor="text1"/>
                                  <w:kern w:val="24"/>
                                  <w:sz w:val="28"/>
                                  <w:szCs w:val="28"/>
                                  <w:lang w:val="kk-KZ"/>
                                  <w14:textFill>
                                    <w14:solidFill>
                                      <w14:schemeClr w14:val="tx1"/>
                                    </w14:solidFill>
                                  </w14:textFill>
                                </w:rPr>
                                <w:t>Дене салмағының</w:t>
                              </w:r>
                            </w:p>
                            <w:p w14:paraId="4C94DA36">
                              <w:pPr>
                                <w:spacing w:after="0" w:line="240" w:lineRule="auto"/>
                                <w:jc w:val="center"/>
                                <w:rPr>
                                  <w:rFonts w:ascii="Times New Roman" w:hAnsi="Times New Roman" w:cs="Times New Roman"/>
                                  <w:color w:val="000000" w:themeColor="text1"/>
                                  <w:kern w:val="24"/>
                                  <w:sz w:val="28"/>
                                  <w:szCs w:val="28"/>
                                  <w:lang w:val="kk-KZ"/>
                                  <w14:textFill>
                                    <w14:solidFill>
                                      <w14:schemeClr w14:val="tx1"/>
                                    </w14:solidFill>
                                  </w14:textFill>
                                </w:rPr>
                              </w:pPr>
                              <w:r>
                                <w:rPr>
                                  <w:rFonts w:ascii="Times New Roman" w:hAnsi="Times New Roman" w:cs="Times New Roman"/>
                                  <w:color w:val="000000" w:themeColor="text1"/>
                                  <w:kern w:val="24"/>
                                  <w:sz w:val="28"/>
                                  <w:szCs w:val="28"/>
                                  <w:lang w:val="kk-KZ"/>
                                  <w14:textFill>
                                    <w14:solidFill>
                                      <w14:schemeClr w14:val="tx1"/>
                                    </w14:solidFill>
                                  </w14:textFill>
                                </w:rPr>
                                <w:t>индексі қалыпты жүкті</w:t>
                              </w:r>
                            </w:p>
                            <w:p w14:paraId="058434B2">
                              <w:pPr>
                                <w:spacing w:after="0" w:line="240" w:lineRule="auto"/>
                                <w:jc w:val="center"/>
                                <w:rPr>
                                  <w:rFonts w:ascii="Times New Roman" w:hAnsi="Times New Roman" w:cs="Times New Roman"/>
                                  <w:color w:val="000000" w:themeColor="text1"/>
                                  <w:kern w:val="24"/>
                                  <w:sz w:val="28"/>
                                  <w:szCs w:val="28"/>
                                  <w:lang w:val="kk-KZ"/>
                                  <w14:textFill>
                                    <w14:solidFill>
                                      <w14:schemeClr w14:val="tx1"/>
                                    </w14:solidFill>
                                  </w14:textFill>
                                </w:rPr>
                              </w:pPr>
                              <w:r>
                                <w:rPr>
                                  <w:rFonts w:ascii="Times New Roman" w:hAnsi="Times New Roman" w:cs="Times New Roman"/>
                                  <w:color w:val="000000" w:themeColor="text1"/>
                                  <w:kern w:val="24"/>
                                  <w:sz w:val="28"/>
                                  <w:szCs w:val="28"/>
                                  <w:lang w:val="kk-KZ"/>
                                  <w14:textFill>
                                    <w14:solidFill>
                                      <w14:schemeClr w14:val="tx1"/>
                                    </w14:solidFill>
                                  </w14:textFill>
                                </w:rPr>
                                <w:t>(n=83)</w:t>
                              </w:r>
                            </w:p>
                          </w:txbxContent>
                        </wps:txbx>
                        <wps:bodyPr rtlCol="0" anchor="ctr"/>
                      </wps:wsp>
                      <wps:wsp>
                        <wps:cNvPr id="1347944131" name="Rectangle 1347944131"/>
                        <wps:cNvSpPr/>
                        <wps:spPr>
                          <a:xfrm>
                            <a:off x="4234249" y="2101307"/>
                            <a:ext cx="2905897" cy="914400"/>
                          </a:xfrm>
                          <a:prstGeom prst="rect">
                            <a:avLst/>
                          </a:prstGeom>
                          <a:solidFill>
                            <a:schemeClr val="tx2">
                              <a:lumMod val="40000"/>
                              <a:lumOff val="60000"/>
                            </a:schemeClr>
                          </a:solidFill>
                        </wps:spPr>
                        <wps:style>
                          <a:lnRef idx="1">
                            <a:schemeClr val="accent1"/>
                          </a:lnRef>
                          <a:fillRef idx="3">
                            <a:schemeClr val="accent1"/>
                          </a:fillRef>
                          <a:effectRef idx="2">
                            <a:schemeClr val="accent1"/>
                          </a:effectRef>
                          <a:fontRef idx="minor">
                            <a:schemeClr val="lt1"/>
                          </a:fontRef>
                        </wps:style>
                        <wps:txbx>
                          <w:txbxContent>
                            <w:p w14:paraId="0B07B3CE">
                              <w:pPr>
                                <w:spacing w:after="0" w:line="240" w:lineRule="auto"/>
                                <w:jc w:val="center"/>
                                <w:rPr>
                                  <w:rFonts w:ascii="Times New Roman" w:hAnsi="Times New Roman" w:cs="Times New Roman"/>
                                  <w:color w:val="000000" w:themeColor="text1"/>
                                  <w:kern w:val="24"/>
                                  <w:sz w:val="28"/>
                                  <w:szCs w:val="28"/>
                                  <w:lang w:val="kk-KZ"/>
                                  <w14:textFill>
                                    <w14:solidFill>
                                      <w14:schemeClr w14:val="tx1"/>
                                    </w14:solidFill>
                                  </w14:textFill>
                                </w:rPr>
                              </w:pPr>
                              <w:r>
                                <w:rPr>
                                  <w:rFonts w:ascii="Times New Roman" w:hAnsi="Times New Roman" w:cs="Times New Roman"/>
                                  <w:color w:val="000000" w:themeColor="text1"/>
                                  <w:kern w:val="24"/>
                                  <w:sz w:val="28"/>
                                  <w:szCs w:val="28"/>
                                  <w:lang w:val="kk-KZ"/>
                                  <w14:textFill>
                                    <w14:solidFill>
                                      <w14:schemeClr w14:val="tx1"/>
                                    </w14:solidFill>
                                  </w14:textFill>
                                </w:rPr>
                                <w:t>Дене салмағының</w:t>
                              </w:r>
                            </w:p>
                            <w:p w14:paraId="4189ACCB">
                              <w:pPr>
                                <w:spacing w:after="0" w:line="240" w:lineRule="auto"/>
                                <w:jc w:val="center"/>
                                <w:rPr>
                                  <w:rFonts w:ascii="Times New Roman" w:hAnsi="Times New Roman" w:cs="Times New Roman"/>
                                  <w:color w:val="000000" w:themeColor="text1"/>
                                  <w:kern w:val="24"/>
                                  <w:sz w:val="28"/>
                                  <w:szCs w:val="28"/>
                                  <w:lang w:val="kk-KZ"/>
                                  <w14:textFill>
                                    <w14:solidFill>
                                      <w14:schemeClr w14:val="tx1"/>
                                    </w14:solidFill>
                                  </w14:textFill>
                                </w:rPr>
                              </w:pPr>
                              <w:r>
                                <w:rPr>
                                  <w:rFonts w:ascii="Times New Roman" w:hAnsi="Times New Roman" w:cs="Times New Roman"/>
                                  <w:color w:val="000000" w:themeColor="text1"/>
                                  <w:kern w:val="24"/>
                                  <w:sz w:val="28"/>
                                  <w:szCs w:val="28"/>
                                  <w:lang w:val="kk-KZ"/>
                                  <w14:textFill>
                                    <w14:solidFill>
                                      <w14:schemeClr w14:val="tx1"/>
                                    </w14:solidFill>
                                  </w14:textFill>
                                </w:rPr>
                                <w:t>индексі &gt;29 кг/м2</w:t>
                              </w:r>
                            </w:p>
                            <w:p w14:paraId="59B6C21C">
                              <w:pPr>
                                <w:spacing w:after="0" w:line="240" w:lineRule="auto"/>
                                <w:jc w:val="center"/>
                                <w:rPr>
                                  <w:rFonts w:ascii="Times New Roman" w:hAnsi="Times New Roman" w:cs="Times New Roman"/>
                                  <w:color w:val="000000" w:themeColor="text1"/>
                                  <w:kern w:val="24"/>
                                  <w:sz w:val="28"/>
                                  <w:szCs w:val="28"/>
                                  <w:lang w:val="kk-KZ"/>
                                  <w14:textFill>
                                    <w14:solidFill>
                                      <w14:schemeClr w14:val="tx1"/>
                                    </w14:solidFill>
                                  </w14:textFill>
                                </w:rPr>
                              </w:pPr>
                              <w:r>
                                <w:rPr>
                                  <w:rFonts w:ascii="Times New Roman" w:hAnsi="Times New Roman" w:cs="Times New Roman"/>
                                  <w:color w:val="000000" w:themeColor="text1"/>
                                  <w:kern w:val="24"/>
                                  <w:sz w:val="28"/>
                                  <w:szCs w:val="28"/>
                                  <w:lang w:val="kk-KZ"/>
                                  <w14:textFill>
                                    <w14:solidFill>
                                      <w14:schemeClr w14:val="tx1"/>
                                    </w14:solidFill>
                                  </w14:textFill>
                                </w:rPr>
                                <w:t>жоғары жүкті</w:t>
                              </w:r>
                            </w:p>
                            <w:p w14:paraId="53418842">
                              <w:pPr>
                                <w:spacing w:after="0" w:line="240" w:lineRule="auto"/>
                                <w:jc w:val="center"/>
                                <w:rPr>
                                  <w:rFonts w:ascii="Times New Roman" w:hAnsi="Times New Roman" w:cs="Times New Roman"/>
                                  <w:color w:val="000000" w:themeColor="text1"/>
                                  <w:kern w:val="24"/>
                                  <w:sz w:val="28"/>
                                  <w:szCs w:val="28"/>
                                  <w:lang w:val="kk-KZ"/>
                                  <w14:textFill>
                                    <w14:solidFill>
                                      <w14:schemeClr w14:val="tx1"/>
                                    </w14:solidFill>
                                  </w14:textFill>
                                </w:rPr>
                              </w:pPr>
                              <w:r>
                                <w:rPr>
                                  <w:rFonts w:ascii="Times New Roman" w:hAnsi="Times New Roman" w:cs="Times New Roman"/>
                                  <w:color w:val="000000" w:themeColor="text1"/>
                                  <w:kern w:val="24"/>
                                  <w:sz w:val="28"/>
                                  <w:szCs w:val="28"/>
                                  <w:lang w:val="kk-KZ"/>
                                  <w14:textFill>
                                    <w14:solidFill>
                                      <w14:schemeClr w14:val="tx1"/>
                                    </w14:solidFill>
                                  </w14:textFill>
                                </w:rPr>
                                <w:t>(n=84)</w:t>
                              </w:r>
                            </w:p>
                          </w:txbxContent>
                        </wps:txbx>
                        <wps:bodyPr rtlCol="0" anchor="ctr"/>
                      </wps:wsp>
                      <wps:wsp>
                        <wps:cNvPr id="436236856" name="Rectangle 436236856"/>
                        <wps:cNvSpPr/>
                        <wps:spPr>
                          <a:xfrm>
                            <a:off x="0" y="3454972"/>
                            <a:ext cx="1684638" cy="914400"/>
                          </a:xfrm>
                          <a:prstGeom prst="rect">
                            <a:avLst/>
                          </a:prstGeom>
                          <a:solidFill>
                            <a:schemeClr val="tx2">
                              <a:lumMod val="40000"/>
                              <a:lumOff val="60000"/>
                            </a:schemeClr>
                          </a:solidFill>
                        </wps:spPr>
                        <wps:style>
                          <a:lnRef idx="1">
                            <a:schemeClr val="accent1"/>
                          </a:lnRef>
                          <a:fillRef idx="3">
                            <a:schemeClr val="accent1"/>
                          </a:fillRef>
                          <a:effectRef idx="2">
                            <a:schemeClr val="accent1"/>
                          </a:effectRef>
                          <a:fontRef idx="minor">
                            <a:schemeClr val="lt1"/>
                          </a:fontRef>
                        </wps:style>
                        <wps:txbx>
                          <w:txbxContent>
                            <w:p w14:paraId="0BB464F4">
                              <w:pPr>
                                <w:spacing w:after="0" w:line="240" w:lineRule="auto"/>
                                <w:jc w:val="center"/>
                                <w:rPr>
                                  <w:rFonts w:ascii="Times New Roman" w:hAnsi="Times New Roman" w:cs="Times New Roman"/>
                                  <w:color w:val="000000" w:themeColor="text1"/>
                                  <w:kern w:val="24"/>
                                  <w:sz w:val="28"/>
                                  <w:szCs w:val="28"/>
                                  <w:lang w:val="kk-KZ"/>
                                  <w14:textFill>
                                    <w14:solidFill>
                                      <w14:schemeClr w14:val="tx1"/>
                                    </w14:solidFill>
                                  </w14:textFill>
                                </w:rPr>
                              </w:pPr>
                              <w:r>
                                <w:rPr>
                                  <w:rFonts w:ascii="Times New Roman" w:hAnsi="Times New Roman" w:cs="Times New Roman"/>
                                  <w:color w:val="000000" w:themeColor="text1"/>
                                  <w:kern w:val="24"/>
                                  <w:sz w:val="28"/>
                                  <w:szCs w:val="28"/>
                                  <w:lang w:val="kk-KZ"/>
                                  <w14:textFill>
                                    <w14:solidFill>
                                      <w14:schemeClr w14:val="tx1"/>
                                    </w14:solidFill>
                                  </w14:textFill>
                                </w:rPr>
                                <w:t>Дені сау жүкті</w:t>
                              </w:r>
                            </w:p>
                            <w:p w14:paraId="229197BE">
                              <w:pPr>
                                <w:spacing w:after="0" w:line="240" w:lineRule="auto"/>
                                <w:jc w:val="center"/>
                                <w:rPr>
                                  <w:rFonts w:ascii="Times New Roman" w:hAnsi="Times New Roman" w:cs="Times New Roman"/>
                                  <w:color w:val="000000" w:themeColor="text1"/>
                                  <w:kern w:val="24"/>
                                  <w:sz w:val="28"/>
                                  <w:szCs w:val="28"/>
                                  <w:lang w:val="kk-KZ"/>
                                  <w14:textFill>
                                    <w14:solidFill>
                                      <w14:schemeClr w14:val="tx1"/>
                                    </w14:solidFill>
                                  </w14:textFill>
                                </w:rPr>
                              </w:pPr>
                              <w:r>
                                <w:rPr>
                                  <w:rFonts w:ascii="Times New Roman" w:hAnsi="Times New Roman" w:cs="Times New Roman"/>
                                  <w:color w:val="000000" w:themeColor="text1"/>
                                  <w:kern w:val="24"/>
                                  <w:sz w:val="28"/>
                                  <w:szCs w:val="28"/>
                                  <w:lang w:val="kk-KZ"/>
                                  <w14:textFill>
                                    <w14:solidFill>
                                      <w14:schemeClr w14:val="tx1"/>
                                    </w14:solidFill>
                                  </w14:textFill>
                                </w:rPr>
                                <w:t>Бақылау тобы</w:t>
                              </w:r>
                            </w:p>
                            <w:p w14:paraId="46772938">
                              <w:pPr>
                                <w:spacing w:after="0" w:line="240" w:lineRule="auto"/>
                                <w:jc w:val="center"/>
                                <w:rPr>
                                  <w:rFonts w:ascii="Times New Roman" w:hAnsi="Times New Roman" w:cs="Times New Roman"/>
                                  <w:color w:val="000000" w:themeColor="text1"/>
                                  <w:kern w:val="24"/>
                                  <w:sz w:val="28"/>
                                  <w:szCs w:val="28"/>
                                  <w:lang w:val="kk-KZ"/>
                                  <w14:textFill>
                                    <w14:solidFill>
                                      <w14:schemeClr w14:val="tx1"/>
                                    </w14:solidFill>
                                  </w14:textFill>
                                </w:rPr>
                              </w:pPr>
                              <w:r>
                                <w:rPr>
                                  <w:rFonts w:ascii="Times New Roman" w:hAnsi="Times New Roman" w:cs="Times New Roman"/>
                                  <w:color w:val="000000" w:themeColor="text1"/>
                                  <w:kern w:val="24"/>
                                  <w:sz w:val="28"/>
                                  <w:szCs w:val="28"/>
                                  <w:lang w:val="kk-KZ"/>
                                  <w14:textFill>
                                    <w14:solidFill>
                                      <w14:schemeClr w14:val="tx1"/>
                                    </w14:solidFill>
                                  </w14:textFill>
                                </w:rPr>
                                <w:t>(n=43)</w:t>
                              </w:r>
                            </w:p>
                          </w:txbxContent>
                        </wps:txbx>
                        <wps:bodyPr rtlCol="0" anchor="ctr"/>
                      </wps:wsp>
                      <wps:wsp>
                        <wps:cNvPr id="1588463168" name="Rectangle 1588463168"/>
                        <wps:cNvSpPr/>
                        <wps:spPr>
                          <a:xfrm>
                            <a:off x="1983259" y="3454972"/>
                            <a:ext cx="1618735" cy="914400"/>
                          </a:xfrm>
                          <a:prstGeom prst="rect">
                            <a:avLst/>
                          </a:prstGeom>
                          <a:solidFill>
                            <a:schemeClr val="tx2">
                              <a:lumMod val="40000"/>
                              <a:lumOff val="60000"/>
                            </a:schemeClr>
                          </a:solidFill>
                        </wps:spPr>
                        <wps:style>
                          <a:lnRef idx="1">
                            <a:schemeClr val="accent1"/>
                          </a:lnRef>
                          <a:fillRef idx="3">
                            <a:schemeClr val="accent1"/>
                          </a:fillRef>
                          <a:effectRef idx="2">
                            <a:schemeClr val="accent1"/>
                          </a:effectRef>
                          <a:fontRef idx="minor">
                            <a:schemeClr val="lt1"/>
                          </a:fontRef>
                        </wps:style>
                        <wps:txbx>
                          <w:txbxContent>
                            <w:p w14:paraId="7A19132B">
                              <w:pPr>
                                <w:spacing w:after="0" w:line="240" w:lineRule="auto"/>
                                <w:jc w:val="center"/>
                                <w:rPr>
                                  <w:rFonts w:ascii="Times New Roman" w:hAnsi="Times New Roman" w:cs="Times New Roman"/>
                                  <w:color w:val="000000" w:themeColor="text1"/>
                                  <w:kern w:val="24"/>
                                  <w:sz w:val="28"/>
                                  <w:szCs w:val="28"/>
                                  <w:lang w:val="kk-KZ"/>
                                  <w14:textFill>
                                    <w14:solidFill>
                                      <w14:schemeClr w14:val="tx1"/>
                                    </w14:solidFill>
                                  </w14:textFill>
                                </w:rPr>
                              </w:pPr>
                              <w:r>
                                <w:rPr>
                                  <w:rFonts w:ascii="Times New Roman" w:hAnsi="Times New Roman" w:cs="Times New Roman"/>
                                  <w:color w:val="000000" w:themeColor="text1"/>
                                  <w:kern w:val="24"/>
                                  <w:sz w:val="28"/>
                                  <w:szCs w:val="28"/>
                                  <w:lang w:val="kk-KZ"/>
                                  <w14:textFill>
                                    <w14:solidFill>
                                      <w14:schemeClr w14:val="tx1"/>
                                    </w14:solidFill>
                                  </w14:textFill>
                                </w:rPr>
                                <w:t>Анемиясы бар жүкті</w:t>
                              </w:r>
                            </w:p>
                            <w:p w14:paraId="2F015C59">
                              <w:pPr>
                                <w:spacing w:after="0" w:line="240" w:lineRule="auto"/>
                                <w:jc w:val="center"/>
                                <w:rPr>
                                  <w:rFonts w:ascii="Times New Roman" w:hAnsi="Times New Roman" w:cs="Times New Roman"/>
                                  <w:color w:val="000000" w:themeColor="text1"/>
                                  <w:kern w:val="24"/>
                                  <w:sz w:val="28"/>
                                  <w:szCs w:val="28"/>
                                  <w:lang w:val="kk-KZ"/>
                                  <w14:textFill>
                                    <w14:solidFill>
                                      <w14:schemeClr w14:val="tx1"/>
                                    </w14:solidFill>
                                  </w14:textFill>
                                </w:rPr>
                              </w:pPr>
                              <w:r>
                                <w:rPr>
                                  <w:rFonts w:ascii="Times New Roman" w:hAnsi="Times New Roman" w:cs="Times New Roman"/>
                                  <w:color w:val="000000" w:themeColor="text1"/>
                                  <w:kern w:val="24"/>
                                  <w:sz w:val="28"/>
                                  <w:szCs w:val="28"/>
                                  <w:lang w:val="kk-KZ"/>
                                  <w14:textFill>
                                    <w14:solidFill>
                                      <w14:schemeClr w14:val="tx1"/>
                                    </w14:solidFill>
                                  </w14:textFill>
                                </w:rPr>
                                <w:t>(n=40)</w:t>
                              </w:r>
                            </w:p>
                          </w:txbxContent>
                        </wps:txbx>
                        <wps:bodyPr rtlCol="0" anchor="ctr"/>
                      </wps:wsp>
                      <wps:wsp>
                        <wps:cNvPr id="778941656" name="Rectangle 778941656"/>
                        <wps:cNvSpPr/>
                        <wps:spPr>
                          <a:xfrm>
                            <a:off x="4234249" y="3463939"/>
                            <a:ext cx="1692876" cy="914400"/>
                          </a:xfrm>
                          <a:prstGeom prst="rect">
                            <a:avLst/>
                          </a:prstGeom>
                          <a:solidFill>
                            <a:schemeClr val="tx2">
                              <a:lumMod val="40000"/>
                              <a:lumOff val="60000"/>
                            </a:schemeClr>
                          </a:solidFill>
                        </wps:spPr>
                        <wps:style>
                          <a:lnRef idx="1">
                            <a:schemeClr val="accent1"/>
                          </a:lnRef>
                          <a:fillRef idx="3">
                            <a:schemeClr val="accent1"/>
                          </a:fillRef>
                          <a:effectRef idx="2">
                            <a:schemeClr val="accent1"/>
                          </a:effectRef>
                          <a:fontRef idx="minor">
                            <a:schemeClr val="lt1"/>
                          </a:fontRef>
                        </wps:style>
                        <wps:txbx>
                          <w:txbxContent>
                            <w:p w14:paraId="5FD74225">
                              <w:pPr>
                                <w:spacing w:after="0" w:line="240" w:lineRule="auto"/>
                                <w:jc w:val="center"/>
                                <w:rPr>
                                  <w:rFonts w:ascii="Times New Roman" w:hAnsi="Times New Roman" w:cs="Times New Roman"/>
                                  <w:color w:val="000000" w:themeColor="text1"/>
                                  <w:kern w:val="24"/>
                                  <w:sz w:val="28"/>
                                  <w:szCs w:val="28"/>
                                  <w:lang w:val="kk-KZ"/>
                                  <w14:textFill>
                                    <w14:solidFill>
                                      <w14:schemeClr w14:val="tx1"/>
                                    </w14:solidFill>
                                  </w14:textFill>
                                </w:rPr>
                              </w:pPr>
                              <w:r>
                                <w:rPr>
                                  <w:rFonts w:ascii="Times New Roman" w:hAnsi="Times New Roman" w:cs="Times New Roman"/>
                                  <w:color w:val="000000" w:themeColor="text1"/>
                                  <w:kern w:val="24"/>
                                  <w:sz w:val="28"/>
                                  <w:szCs w:val="28"/>
                                  <w:lang w:val="kk-KZ"/>
                                  <w14:textFill>
                                    <w14:solidFill>
                                      <w14:schemeClr w14:val="tx1"/>
                                    </w14:solidFill>
                                  </w14:textFill>
                                </w:rPr>
                                <w:t>Семіздігі және</w:t>
                              </w:r>
                            </w:p>
                            <w:p w14:paraId="60115D08">
                              <w:pPr>
                                <w:spacing w:after="0" w:line="240" w:lineRule="auto"/>
                                <w:jc w:val="center"/>
                                <w:rPr>
                                  <w:rFonts w:ascii="Times New Roman" w:hAnsi="Times New Roman" w:cs="Times New Roman"/>
                                  <w:color w:val="000000" w:themeColor="text1"/>
                                  <w:kern w:val="24"/>
                                  <w:sz w:val="28"/>
                                  <w:szCs w:val="28"/>
                                  <w:lang w:val="kk-KZ"/>
                                  <w14:textFill>
                                    <w14:solidFill>
                                      <w14:schemeClr w14:val="tx1"/>
                                    </w14:solidFill>
                                  </w14:textFill>
                                </w:rPr>
                              </w:pPr>
                              <w:r>
                                <w:rPr>
                                  <w:rFonts w:ascii="Times New Roman" w:hAnsi="Times New Roman" w:cs="Times New Roman"/>
                                  <w:color w:val="000000" w:themeColor="text1"/>
                                  <w:kern w:val="24"/>
                                  <w:sz w:val="28"/>
                                  <w:szCs w:val="28"/>
                                  <w:lang w:val="kk-KZ"/>
                                  <w14:textFill>
                                    <w14:solidFill>
                                      <w14:schemeClr w14:val="tx1"/>
                                    </w14:solidFill>
                                  </w14:textFill>
                                </w:rPr>
                                <w:t>анемиясы бар жүкті</w:t>
                              </w:r>
                            </w:p>
                            <w:p w14:paraId="152AE2B6">
                              <w:pPr>
                                <w:spacing w:after="0" w:line="240" w:lineRule="auto"/>
                                <w:jc w:val="center"/>
                                <w:rPr>
                                  <w:rFonts w:ascii="Times New Roman" w:hAnsi="Times New Roman" w:cs="Times New Roman"/>
                                  <w:color w:val="000000" w:themeColor="text1"/>
                                  <w:kern w:val="24"/>
                                  <w:sz w:val="28"/>
                                  <w:szCs w:val="28"/>
                                  <w:lang w:val="kk-KZ"/>
                                  <w14:textFill>
                                    <w14:solidFill>
                                      <w14:schemeClr w14:val="tx1"/>
                                    </w14:solidFill>
                                  </w14:textFill>
                                </w:rPr>
                              </w:pPr>
                              <w:r>
                                <w:rPr>
                                  <w:rFonts w:ascii="Times New Roman" w:hAnsi="Times New Roman" w:cs="Times New Roman"/>
                                  <w:color w:val="000000" w:themeColor="text1"/>
                                  <w:kern w:val="24"/>
                                  <w:sz w:val="28"/>
                                  <w:szCs w:val="28"/>
                                  <w:lang w:val="kk-KZ"/>
                                  <w14:textFill>
                                    <w14:solidFill>
                                      <w14:schemeClr w14:val="tx1"/>
                                    </w14:solidFill>
                                  </w14:textFill>
                                </w:rPr>
                                <w:t>(n=48)</w:t>
                              </w:r>
                            </w:p>
                          </w:txbxContent>
                        </wps:txbx>
                        <wps:bodyPr rtlCol="0" anchor="ctr"/>
                      </wps:wsp>
                      <wps:wsp>
                        <wps:cNvPr id="257795315" name="Rectangle 257795315"/>
                        <wps:cNvSpPr/>
                        <wps:spPr>
                          <a:xfrm>
                            <a:off x="6236043" y="3463939"/>
                            <a:ext cx="1561070" cy="914400"/>
                          </a:xfrm>
                          <a:prstGeom prst="rect">
                            <a:avLst/>
                          </a:prstGeom>
                          <a:solidFill>
                            <a:schemeClr val="tx2">
                              <a:lumMod val="40000"/>
                              <a:lumOff val="60000"/>
                            </a:schemeClr>
                          </a:solidFill>
                        </wps:spPr>
                        <wps:style>
                          <a:lnRef idx="1">
                            <a:schemeClr val="accent1"/>
                          </a:lnRef>
                          <a:fillRef idx="3">
                            <a:schemeClr val="accent1"/>
                          </a:fillRef>
                          <a:effectRef idx="2">
                            <a:schemeClr val="accent1"/>
                          </a:effectRef>
                          <a:fontRef idx="minor">
                            <a:schemeClr val="lt1"/>
                          </a:fontRef>
                        </wps:style>
                        <wps:txbx>
                          <w:txbxContent>
                            <w:p w14:paraId="4E5AF1EC">
                              <w:pPr>
                                <w:spacing w:after="0" w:line="240" w:lineRule="auto"/>
                                <w:jc w:val="center"/>
                                <w:rPr>
                                  <w:rFonts w:ascii="Times New Roman" w:hAnsi="Times New Roman" w:cs="Times New Roman"/>
                                  <w:color w:val="000000" w:themeColor="text1"/>
                                  <w:kern w:val="24"/>
                                  <w:sz w:val="28"/>
                                  <w:szCs w:val="28"/>
                                  <w:lang w:val="kk-KZ"/>
                                  <w14:textFill>
                                    <w14:solidFill>
                                      <w14:schemeClr w14:val="tx1"/>
                                    </w14:solidFill>
                                  </w14:textFill>
                                </w:rPr>
                              </w:pPr>
                              <w:r>
                                <w:rPr>
                                  <w:rFonts w:ascii="Times New Roman" w:hAnsi="Times New Roman" w:cs="Times New Roman"/>
                                  <w:color w:val="000000" w:themeColor="text1"/>
                                  <w:kern w:val="24"/>
                                  <w:sz w:val="28"/>
                                  <w:szCs w:val="28"/>
                                  <w:lang w:val="kk-KZ"/>
                                  <w14:textFill>
                                    <w14:solidFill>
                                      <w14:schemeClr w14:val="tx1"/>
                                    </w14:solidFill>
                                  </w14:textFill>
                                </w:rPr>
                                <w:t>Семіздігі бар жүкті</w:t>
                              </w:r>
                            </w:p>
                            <w:p w14:paraId="11FFD36A">
                              <w:pPr>
                                <w:spacing w:after="0" w:line="240" w:lineRule="auto"/>
                                <w:jc w:val="center"/>
                                <w:rPr>
                                  <w:rFonts w:ascii="Times New Roman" w:hAnsi="Times New Roman" w:cs="Times New Roman"/>
                                  <w:color w:val="000000" w:themeColor="text1"/>
                                  <w:kern w:val="24"/>
                                  <w:sz w:val="28"/>
                                  <w:szCs w:val="28"/>
                                  <w:lang w:val="kk-KZ"/>
                                  <w14:textFill>
                                    <w14:solidFill>
                                      <w14:schemeClr w14:val="tx1"/>
                                    </w14:solidFill>
                                  </w14:textFill>
                                </w:rPr>
                              </w:pPr>
                              <w:r>
                                <w:rPr>
                                  <w:rFonts w:ascii="Times New Roman" w:hAnsi="Times New Roman" w:cs="Times New Roman"/>
                                  <w:color w:val="000000" w:themeColor="text1"/>
                                  <w:kern w:val="24"/>
                                  <w:sz w:val="28"/>
                                  <w:szCs w:val="28"/>
                                  <w:lang w:val="kk-KZ"/>
                                  <w14:textFill>
                                    <w14:solidFill>
                                      <w14:schemeClr w14:val="tx1"/>
                                    </w14:solidFill>
                                  </w14:textFill>
                                </w:rPr>
                                <w:t>(n=36)</w:t>
                              </w:r>
                            </w:p>
                          </w:txbxContent>
                        </wps:txbx>
                        <wps:bodyPr rtlCol="0" anchor="ctr"/>
                      </wps:wsp>
                      <wps:wsp>
                        <wps:cNvPr id="680240892" name="Arrow: Down 680240892"/>
                        <wps:cNvSpPr/>
                        <wps:spPr>
                          <a:xfrm>
                            <a:off x="2977978" y="1660582"/>
                            <a:ext cx="411892" cy="395418"/>
                          </a:xfrm>
                          <a:prstGeom prst="downArrow">
                            <a:avLst/>
                          </a:prstGeom>
                        </wps:spPr>
                        <wps:style>
                          <a:lnRef idx="1">
                            <a:schemeClr val="accent1"/>
                          </a:lnRef>
                          <a:fillRef idx="3">
                            <a:schemeClr val="accent1"/>
                          </a:fillRef>
                          <a:effectRef idx="2">
                            <a:schemeClr val="accent1"/>
                          </a:effectRef>
                          <a:fontRef idx="minor">
                            <a:schemeClr val="lt1"/>
                          </a:fontRef>
                        </wps:style>
                        <wps:bodyPr rtlCol="0" anchor="ctr"/>
                      </wps:wsp>
                      <wps:wsp>
                        <wps:cNvPr id="1159920401" name="Arrow: Down 1159920401"/>
                        <wps:cNvSpPr/>
                        <wps:spPr>
                          <a:xfrm>
                            <a:off x="4518456" y="1660582"/>
                            <a:ext cx="411892" cy="395418"/>
                          </a:xfrm>
                          <a:prstGeom prst="downArrow">
                            <a:avLst/>
                          </a:prstGeom>
                        </wps:spPr>
                        <wps:style>
                          <a:lnRef idx="1">
                            <a:schemeClr val="accent1"/>
                          </a:lnRef>
                          <a:fillRef idx="3">
                            <a:schemeClr val="accent1"/>
                          </a:fillRef>
                          <a:effectRef idx="2">
                            <a:schemeClr val="accent1"/>
                          </a:effectRef>
                          <a:fontRef idx="minor">
                            <a:schemeClr val="lt1"/>
                          </a:fontRef>
                        </wps:style>
                        <wps:bodyPr rtlCol="0" anchor="ctr"/>
                      </wps:wsp>
                      <wps:wsp>
                        <wps:cNvPr id="970989324" name="Arrow: Down 970989324"/>
                        <wps:cNvSpPr/>
                        <wps:spPr>
                          <a:xfrm>
                            <a:off x="1186248" y="3037630"/>
                            <a:ext cx="411892" cy="395418"/>
                          </a:xfrm>
                          <a:prstGeom prst="downArrow">
                            <a:avLst/>
                          </a:prstGeom>
                        </wps:spPr>
                        <wps:style>
                          <a:lnRef idx="1">
                            <a:schemeClr val="accent1"/>
                          </a:lnRef>
                          <a:fillRef idx="3">
                            <a:schemeClr val="accent1"/>
                          </a:fillRef>
                          <a:effectRef idx="2">
                            <a:schemeClr val="accent1"/>
                          </a:effectRef>
                          <a:fontRef idx="minor">
                            <a:schemeClr val="lt1"/>
                          </a:fontRef>
                        </wps:style>
                        <wps:bodyPr rtlCol="0" anchor="ctr"/>
                      </wps:wsp>
                      <wps:wsp>
                        <wps:cNvPr id="1748465875" name="Arrow: Down 1748465875"/>
                        <wps:cNvSpPr/>
                        <wps:spPr>
                          <a:xfrm>
                            <a:off x="2977977" y="3037630"/>
                            <a:ext cx="411892" cy="395418"/>
                          </a:xfrm>
                          <a:prstGeom prst="downArrow">
                            <a:avLst/>
                          </a:prstGeom>
                        </wps:spPr>
                        <wps:style>
                          <a:lnRef idx="1">
                            <a:schemeClr val="accent1"/>
                          </a:lnRef>
                          <a:fillRef idx="3">
                            <a:schemeClr val="accent1"/>
                          </a:fillRef>
                          <a:effectRef idx="2">
                            <a:schemeClr val="accent1"/>
                          </a:effectRef>
                          <a:fontRef idx="minor">
                            <a:schemeClr val="lt1"/>
                          </a:fontRef>
                        </wps:style>
                        <wps:bodyPr rtlCol="0" anchor="ctr"/>
                      </wps:wsp>
                      <wps:wsp>
                        <wps:cNvPr id="284937535" name="Arrow: Down 284937535"/>
                        <wps:cNvSpPr/>
                        <wps:spPr>
                          <a:xfrm>
                            <a:off x="4518456" y="3059554"/>
                            <a:ext cx="411892" cy="395418"/>
                          </a:xfrm>
                          <a:prstGeom prst="downArrow">
                            <a:avLst/>
                          </a:prstGeom>
                        </wps:spPr>
                        <wps:style>
                          <a:lnRef idx="1">
                            <a:schemeClr val="accent1"/>
                          </a:lnRef>
                          <a:fillRef idx="3">
                            <a:schemeClr val="accent1"/>
                          </a:fillRef>
                          <a:effectRef idx="2">
                            <a:schemeClr val="accent1"/>
                          </a:effectRef>
                          <a:fontRef idx="minor">
                            <a:schemeClr val="lt1"/>
                          </a:fontRef>
                        </wps:style>
                        <wps:bodyPr rtlCol="0" anchor="ctr"/>
                      </wps:wsp>
                      <wps:wsp>
                        <wps:cNvPr id="94260741" name="Arrow: Down 94260741"/>
                        <wps:cNvSpPr/>
                        <wps:spPr>
                          <a:xfrm>
                            <a:off x="6604686" y="3037630"/>
                            <a:ext cx="411892" cy="395418"/>
                          </a:xfrm>
                          <a:prstGeom prst="downArrow">
                            <a:avLst/>
                          </a:prstGeom>
                        </wps:spPr>
                        <wps:style>
                          <a:lnRef idx="1">
                            <a:schemeClr val="accent1"/>
                          </a:lnRef>
                          <a:fillRef idx="3">
                            <a:schemeClr val="accent1"/>
                          </a:fillRef>
                          <a:effectRef idx="2">
                            <a:schemeClr val="accent1"/>
                          </a:effectRef>
                          <a:fontRef idx="minor">
                            <a:schemeClr val="lt1"/>
                          </a:fontRef>
                        </wps:style>
                        <wps:bodyPr rtlCol="0" anchor="ctr"/>
                      </wps:wsp>
                      <wps:wsp>
                        <wps:cNvPr id="305275676" name="TextBox 19"/>
                        <wps:cNvSpPr txBox="1"/>
                        <wps:spPr>
                          <a:xfrm>
                            <a:off x="1514793" y="52964"/>
                            <a:ext cx="5526552" cy="494372"/>
                          </a:xfrm>
                          <a:prstGeom prst="rect">
                            <a:avLst/>
                          </a:prstGeom>
                          <a:noFill/>
                        </wps:spPr>
                        <wps:txbx>
                          <w:txbxContent>
                            <w:p w14:paraId="1EE951A5">
                              <w:pPr>
                                <w:ind w:firstLine="420" w:firstLineChars="150"/>
                                <w:rPr>
                                  <w:rFonts w:ascii="Times New Roman" w:hAnsi="Times New Roman" w:cs="Times New Roman"/>
                                  <w:b/>
                                  <w:bCs/>
                                  <w:color w:val="000000" w:themeColor="text1"/>
                                  <w:kern w:val="24"/>
                                  <w:sz w:val="28"/>
                                  <w:szCs w:val="28"/>
                                  <w14:textFill>
                                    <w14:solidFill>
                                      <w14:schemeClr w14:val="tx1"/>
                                    </w14:solidFill>
                                  </w14:textFill>
                                </w:rPr>
                              </w:pPr>
                              <w:r>
                                <w:rPr>
                                  <w:rFonts w:ascii="Times New Roman" w:hAnsi="Times New Roman" w:cs="Times New Roman"/>
                                  <w:b/>
                                  <w:bCs/>
                                  <w:color w:val="000000" w:themeColor="text1"/>
                                  <w:kern w:val="24"/>
                                  <w:sz w:val="28"/>
                                  <w:szCs w:val="28"/>
                                  <w14:textFill>
                                    <w14:solidFill>
                                      <w14:schemeClr w14:val="tx1"/>
                                    </w14:solidFill>
                                  </w14:textFill>
                                </w:rPr>
                                <w:t>К</w:t>
                              </w:r>
                              <w:r>
                                <w:rPr>
                                  <w:rFonts w:ascii="Times New Roman" w:hAnsi="Times New Roman" w:cs="Times New Roman"/>
                                  <w:b/>
                                  <w:bCs/>
                                  <w:color w:val="000000" w:themeColor="text1"/>
                                  <w:kern w:val="24"/>
                                  <w:sz w:val="28"/>
                                  <w:szCs w:val="28"/>
                                  <w:lang w:val="kk-KZ"/>
                                  <w14:textFill>
                                    <w14:solidFill>
                                      <w14:schemeClr w14:val="tx1"/>
                                    </w14:solidFill>
                                  </w14:textFill>
                                </w:rPr>
                                <w:t>ездейсоқ бақылау дизайны</w:t>
                              </w:r>
                            </w:p>
                          </w:txbxContent>
                        </wps:txbx>
                        <wps:bodyPr wrap="square">
                          <a:noAutofit/>
                        </wps:bodyPr>
                      </wps:wsp>
                    </wpg:wgp>
                  </a:graphicData>
                </a:graphic>
              </wp:anchor>
            </w:drawing>
          </mc:Choice>
          <mc:Fallback>
            <w:pict>
              <v:group id="Group 20" o:spid="_x0000_s1026" o:spt="203" style="position:absolute;left:0pt;margin-left:17.45pt;margin-top:184.3pt;height:397.5pt;width:405pt;mso-position-horizontal-relative:margin;z-index:251660288;mso-width-relative:page;mso-height-relative:page;" coordorigin="0,52964" coordsize="7797113,4325375" o:gfxdata="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">
                <o:lock v:ext="edit" aspectratio="f"/>
                <v:rect id="Rectangle 1773774935" o:spid="_x0000_s1026" o:spt="1" style="position:absolute;left:2780270;top:700875;height:914400;width:2286000;v-text-anchor:middle;" fillcolor="#ADB9CA [1311]" filled="t" stroked="t" coordsize="21600,21600" o:gfxdata="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CyK&#10;9VLCAAAA4wAAAA8AAAAAAAAAAQAgAAAAIgAAAGRycy9kb3ducmV2LnhtbFBLAQIUABQAAAAIAIdO&#10;4kAzLwWeOwAAADkAAAAQAAAAAAAAAAEAIAAAABEBAABkcnMvc2hhcGV4bWwueG1sUEsFBgAAAAAG&#10;AAYAWwEAALsDAAAAAA==&#10;">
                  <v:fill on="t" focussize="0,0"/>
                  <v:stroke weight="0.5pt" color="#5B9BD5 [3204]" miterlimit="8" joinstyle="miter"/>
                  <v:imagedata o:title=""/>
                  <o:lock v:ext="edit" aspectratio="f"/>
                  <v:textbox>
                    <w:txbxContent>
                      <w:p w14:paraId="47F67BC3">
                        <w:pPr>
                          <w:spacing w:after="0" w:line="240" w:lineRule="auto"/>
                          <w:jc w:val="center"/>
                          <w:rPr>
                            <w:rFonts w:ascii="Times New Roman" w:hAnsi="Times New Roman" w:cs="Times New Roman"/>
                            <w:color w:val="000000" w:themeColor="text1"/>
                            <w:kern w:val="24"/>
                            <w:sz w:val="28"/>
                            <w:szCs w:val="28"/>
                            <w:lang w:val="kk-KZ"/>
                            <w14:textFill>
                              <w14:solidFill>
                                <w14:schemeClr w14:val="tx1"/>
                              </w14:solidFill>
                            </w14:textFill>
                          </w:rPr>
                        </w:pPr>
                        <w:r>
                          <w:rPr>
                            <w:rFonts w:ascii="Times New Roman" w:hAnsi="Times New Roman" w:cs="Times New Roman"/>
                            <w:color w:val="000000" w:themeColor="text1"/>
                            <w:kern w:val="24"/>
                            <w:sz w:val="28"/>
                            <w:szCs w:val="28"/>
                            <w:lang w:val="kk-KZ"/>
                            <w14:textFill>
                              <w14:solidFill>
                                <w14:schemeClr w14:val="tx1"/>
                              </w14:solidFill>
                            </w14:textFill>
                          </w:rPr>
                          <w:t xml:space="preserve">Жалпы </w:t>
                        </w:r>
                      </w:p>
                      <w:p w14:paraId="55F6C9EC">
                        <w:pPr>
                          <w:spacing w:after="0" w:line="240" w:lineRule="auto"/>
                          <w:jc w:val="center"/>
                          <w:rPr>
                            <w:rFonts w:ascii="Times New Roman" w:hAnsi="Times New Roman" w:cs="Times New Roman"/>
                            <w:color w:val="000000" w:themeColor="text1"/>
                            <w:kern w:val="24"/>
                            <w:sz w:val="28"/>
                            <w:szCs w:val="28"/>
                            <w:lang w:val="kk-KZ"/>
                            <w14:textFill>
                              <w14:solidFill>
                                <w14:schemeClr w14:val="tx1"/>
                              </w14:solidFill>
                            </w14:textFill>
                          </w:rPr>
                        </w:pPr>
                        <w:r>
                          <w:rPr>
                            <w:rFonts w:ascii="Times New Roman" w:hAnsi="Times New Roman" w:cs="Times New Roman"/>
                            <w:color w:val="000000" w:themeColor="text1"/>
                            <w:kern w:val="24"/>
                            <w:sz w:val="28"/>
                            <w:szCs w:val="28"/>
                            <w:lang w:val="kk-KZ"/>
                            <w14:textFill>
                              <w14:solidFill>
                                <w14:schemeClr w14:val="tx1"/>
                              </w14:solidFill>
                            </w14:textFill>
                          </w:rPr>
                          <w:t>қатысушылар саны</w:t>
                        </w:r>
                      </w:p>
                      <w:p w14:paraId="77AD33A7">
                        <w:pPr>
                          <w:spacing w:after="0" w:line="240" w:lineRule="auto"/>
                          <w:jc w:val="center"/>
                          <w:rPr>
                            <w:rFonts w:ascii="Times New Roman" w:hAnsi="Times New Roman" w:cs="Times New Roman"/>
                            <w:color w:val="000000" w:themeColor="text1"/>
                            <w:kern w:val="24"/>
                            <w:sz w:val="28"/>
                            <w:szCs w:val="28"/>
                            <w14:textFill>
                              <w14:solidFill>
                                <w14:schemeClr w14:val="tx1"/>
                              </w14:solidFill>
                            </w14:textFill>
                          </w:rPr>
                        </w:pPr>
                        <w:r>
                          <w:rPr>
                            <w:rFonts w:ascii="Times New Roman" w:hAnsi="Times New Roman" w:cs="Times New Roman"/>
                            <w:color w:val="000000" w:themeColor="text1"/>
                            <w:kern w:val="24"/>
                            <w:sz w:val="28"/>
                            <w:szCs w:val="28"/>
                            <w14:textFill>
                              <w14:solidFill>
                                <w14:schemeClr w14:val="tx1"/>
                              </w14:solidFill>
                            </w14:textFill>
                          </w:rPr>
                          <w:t>(</w:t>
                        </w:r>
                        <w:r>
                          <w:rPr>
                            <w:rFonts w:ascii="Times New Roman" w:hAnsi="Times New Roman" w:cs="Times New Roman"/>
                            <w:color w:val="000000" w:themeColor="text1"/>
                            <w:kern w:val="24"/>
                            <w:sz w:val="28"/>
                            <w:szCs w:val="28"/>
                            <w:lang w:val="kk-KZ"/>
                            <w14:textFill>
                              <w14:solidFill>
                                <w14:schemeClr w14:val="tx1"/>
                              </w14:solidFill>
                            </w14:textFill>
                          </w:rPr>
                          <w:t>n=167</w:t>
                        </w:r>
                        <w:r>
                          <w:rPr>
                            <w:rFonts w:ascii="Times New Roman" w:hAnsi="Times New Roman" w:cs="Times New Roman"/>
                            <w:color w:val="000000" w:themeColor="text1"/>
                            <w:kern w:val="24"/>
                            <w:sz w:val="28"/>
                            <w:szCs w:val="28"/>
                            <w14:textFill>
                              <w14:solidFill>
                                <w14:schemeClr w14:val="tx1"/>
                              </w14:solidFill>
                            </w14:textFill>
                          </w:rPr>
                          <w:t>)</w:t>
                        </w:r>
                      </w:p>
                    </w:txbxContent>
                  </v:textbox>
                </v:rect>
                <v:rect id="Rectangle 102601536" o:spid="_x0000_s1026" o:spt="1" style="position:absolute;left:696316;top:2101077;height:914055;width:2905797;v-text-anchor:middle;" fillcolor="#ADB9CA [1311]" filled="t" stroked="t" coordsize="21600,21600" o:gfxdata="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AHsll&#10;wAAAAOIAAAAPAAAAAAAAAAEAIAAAACIAAABkcnMvZG93bnJldi54bWxQSwECFAAUAAAACACHTuJA&#10;My8FnjsAAAA5AAAAEAAAAAAAAAABACAAAAAPAQAAZHJzL3NoYXBleG1sLnhtbFBLBQYAAAAABgAG&#10;AFsBAAC5AwAAAAA=&#10;">
                  <v:fill on="t" focussize="0,0"/>
                  <v:stroke weight="0.5pt" color="#5B9BD5 [3204]" miterlimit="8" joinstyle="miter"/>
                  <v:imagedata o:title=""/>
                  <o:lock v:ext="edit" aspectratio="f"/>
                  <v:textbox>
                    <w:txbxContent>
                      <w:p w14:paraId="00836A62">
                        <w:pPr>
                          <w:spacing w:after="0" w:line="240" w:lineRule="auto"/>
                          <w:jc w:val="center"/>
                          <w:rPr>
                            <w:rFonts w:ascii="Times New Roman" w:hAnsi="Times New Roman" w:cs="Times New Roman"/>
                            <w:color w:val="000000" w:themeColor="text1"/>
                            <w:kern w:val="24"/>
                            <w:sz w:val="28"/>
                            <w:szCs w:val="28"/>
                            <w:lang w:val="kk-KZ"/>
                            <w14:textFill>
                              <w14:solidFill>
                                <w14:schemeClr w14:val="tx1"/>
                              </w14:solidFill>
                            </w14:textFill>
                          </w:rPr>
                        </w:pPr>
                        <w:r>
                          <w:rPr>
                            <w:rFonts w:ascii="Times New Roman" w:hAnsi="Times New Roman" w:cs="Times New Roman"/>
                            <w:color w:val="000000" w:themeColor="text1"/>
                            <w:kern w:val="24"/>
                            <w:sz w:val="28"/>
                            <w:szCs w:val="28"/>
                            <w:lang w:val="kk-KZ"/>
                            <w14:textFill>
                              <w14:solidFill>
                                <w14:schemeClr w14:val="tx1"/>
                              </w14:solidFill>
                            </w14:textFill>
                          </w:rPr>
                          <w:t>Дене салмағының</w:t>
                        </w:r>
                      </w:p>
                      <w:p w14:paraId="4C94DA36">
                        <w:pPr>
                          <w:spacing w:after="0" w:line="240" w:lineRule="auto"/>
                          <w:jc w:val="center"/>
                          <w:rPr>
                            <w:rFonts w:ascii="Times New Roman" w:hAnsi="Times New Roman" w:cs="Times New Roman"/>
                            <w:color w:val="000000" w:themeColor="text1"/>
                            <w:kern w:val="24"/>
                            <w:sz w:val="28"/>
                            <w:szCs w:val="28"/>
                            <w:lang w:val="kk-KZ"/>
                            <w14:textFill>
                              <w14:solidFill>
                                <w14:schemeClr w14:val="tx1"/>
                              </w14:solidFill>
                            </w14:textFill>
                          </w:rPr>
                        </w:pPr>
                        <w:r>
                          <w:rPr>
                            <w:rFonts w:ascii="Times New Roman" w:hAnsi="Times New Roman" w:cs="Times New Roman"/>
                            <w:color w:val="000000" w:themeColor="text1"/>
                            <w:kern w:val="24"/>
                            <w:sz w:val="28"/>
                            <w:szCs w:val="28"/>
                            <w:lang w:val="kk-KZ"/>
                            <w14:textFill>
                              <w14:solidFill>
                                <w14:schemeClr w14:val="tx1"/>
                              </w14:solidFill>
                            </w14:textFill>
                          </w:rPr>
                          <w:t>индексі қалыпты жүкті</w:t>
                        </w:r>
                      </w:p>
                      <w:p w14:paraId="058434B2">
                        <w:pPr>
                          <w:spacing w:after="0" w:line="240" w:lineRule="auto"/>
                          <w:jc w:val="center"/>
                          <w:rPr>
                            <w:rFonts w:ascii="Times New Roman" w:hAnsi="Times New Roman" w:cs="Times New Roman"/>
                            <w:color w:val="000000" w:themeColor="text1"/>
                            <w:kern w:val="24"/>
                            <w:sz w:val="28"/>
                            <w:szCs w:val="28"/>
                            <w:lang w:val="kk-KZ"/>
                            <w14:textFill>
                              <w14:solidFill>
                                <w14:schemeClr w14:val="tx1"/>
                              </w14:solidFill>
                            </w14:textFill>
                          </w:rPr>
                        </w:pPr>
                        <w:r>
                          <w:rPr>
                            <w:rFonts w:ascii="Times New Roman" w:hAnsi="Times New Roman" w:cs="Times New Roman"/>
                            <w:color w:val="000000" w:themeColor="text1"/>
                            <w:kern w:val="24"/>
                            <w:sz w:val="28"/>
                            <w:szCs w:val="28"/>
                            <w:lang w:val="kk-KZ"/>
                            <w14:textFill>
                              <w14:solidFill>
                                <w14:schemeClr w14:val="tx1"/>
                              </w14:solidFill>
                            </w14:textFill>
                          </w:rPr>
                          <w:t>(n=83)</w:t>
                        </w:r>
                      </w:p>
                    </w:txbxContent>
                  </v:textbox>
                </v:rect>
                <v:rect id="Rectangle 1347944131" o:spid="_x0000_s1026" o:spt="1" style="position:absolute;left:4234249;top:2101307;height:914400;width:2905897;v-text-anchor:middle;" fillcolor="#ADB9CA [1311]" filled="t" stroked="t" coordsize="21600,21600" o:gfxdata="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PdZ&#10;VezCAAAA4wAAAA8AAAAAAAAAAQAgAAAAIgAAAGRycy9kb3ducmV2LnhtbFBLAQIUABQAAAAIAIdO&#10;4kAzLwWeOwAAADkAAAAQAAAAAAAAAAEAIAAAABEBAABkcnMvc2hhcGV4bWwueG1sUEsFBgAAAAAG&#10;AAYAWwEAALsDAAAAAA==&#10;">
                  <v:fill on="t" focussize="0,0"/>
                  <v:stroke weight="0.5pt" color="#5B9BD5 [3204]" miterlimit="8" joinstyle="miter"/>
                  <v:imagedata o:title=""/>
                  <o:lock v:ext="edit" aspectratio="f"/>
                  <v:textbox>
                    <w:txbxContent>
                      <w:p w14:paraId="0B07B3CE">
                        <w:pPr>
                          <w:spacing w:after="0" w:line="240" w:lineRule="auto"/>
                          <w:jc w:val="center"/>
                          <w:rPr>
                            <w:rFonts w:ascii="Times New Roman" w:hAnsi="Times New Roman" w:cs="Times New Roman"/>
                            <w:color w:val="000000" w:themeColor="text1"/>
                            <w:kern w:val="24"/>
                            <w:sz w:val="28"/>
                            <w:szCs w:val="28"/>
                            <w:lang w:val="kk-KZ"/>
                            <w14:textFill>
                              <w14:solidFill>
                                <w14:schemeClr w14:val="tx1"/>
                              </w14:solidFill>
                            </w14:textFill>
                          </w:rPr>
                        </w:pPr>
                        <w:r>
                          <w:rPr>
                            <w:rFonts w:ascii="Times New Roman" w:hAnsi="Times New Roman" w:cs="Times New Roman"/>
                            <w:color w:val="000000" w:themeColor="text1"/>
                            <w:kern w:val="24"/>
                            <w:sz w:val="28"/>
                            <w:szCs w:val="28"/>
                            <w:lang w:val="kk-KZ"/>
                            <w14:textFill>
                              <w14:solidFill>
                                <w14:schemeClr w14:val="tx1"/>
                              </w14:solidFill>
                            </w14:textFill>
                          </w:rPr>
                          <w:t>Дене салмағының</w:t>
                        </w:r>
                      </w:p>
                      <w:p w14:paraId="4189ACCB">
                        <w:pPr>
                          <w:spacing w:after="0" w:line="240" w:lineRule="auto"/>
                          <w:jc w:val="center"/>
                          <w:rPr>
                            <w:rFonts w:ascii="Times New Roman" w:hAnsi="Times New Roman" w:cs="Times New Roman"/>
                            <w:color w:val="000000" w:themeColor="text1"/>
                            <w:kern w:val="24"/>
                            <w:sz w:val="28"/>
                            <w:szCs w:val="28"/>
                            <w:lang w:val="kk-KZ"/>
                            <w14:textFill>
                              <w14:solidFill>
                                <w14:schemeClr w14:val="tx1"/>
                              </w14:solidFill>
                            </w14:textFill>
                          </w:rPr>
                        </w:pPr>
                        <w:r>
                          <w:rPr>
                            <w:rFonts w:ascii="Times New Roman" w:hAnsi="Times New Roman" w:cs="Times New Roman"/>
                            <w:color w:val="000000" w:themeColor="text1"/>
                            <w:kern w:val="24"/>
                            <w:sz w:val="28"/>
                            <w:szCs w:val="28"/>
                            <w:lang w:val="kk-KZ"/>
                            <w14:textFill>
                              <w14:solidFill>
                                <w14:schemeClr w14:val="tx1"/>
                              </w14:solidFill>
                            </w14:textFill>
                          </w:rPr>
                          <w:t>индексі &gt;29 кг/м2</w:t>
                        </w:r>
                      </w:p>
                      <w:p w14:paraId="59B6C21C">
                        <w:pPr>
                          <w:spacing w:after="0" w:line="240" w:lineRule="auto"/>
                          <w:jc w:val="center"/>
                          <w:rPr>
                            <w:rFonts w:ascii="Times New Roman" w:hAnsi="Times New Roman" w:cs="Times New Roman"/>
                            <w:color w:val="000000" w:themeColor="text1"/>
                            <w:kern w:val="24"/>
                            <w:sz w:val="28"/>
                            <w:szCs w:val="28"/>
                            <w:lang w:val="kk-KZ"/>
                            <w14:textFill>
                              <w14:solidFill>
                                <w14:schemeClr w14:val="tx1"/>
                              </w14:solidFill>
                            </w14:textFill>
                          </w:rPr>
                        </w:pPr>
                        <w:r>
                          <w:rPr>
                            <w:rFonts w:ascii="Times New Roman" w:hAnsi="Times New Roman" w:cs="Times New Roman"/>
                            <w:color w:val="000000" w:themeColor="text1"/>
                            <w:kern w:val="24"/>
                            <w:sz w:val="28"/>
                            <w:szCs w:val="28"/>
                            <w:lang w:val="kk-KZ"/>
                            <w14:textFill>
                              <w14:solidFill>
                                <w14:schemeClr w14:val="tx1"/>
                              </w14:solidFill>
                            </w14:textFill>
                          </w:rPr>
                          <w:t>жоғары жүкті</w:t>
                        </w:r>
                      </w:p>
                      <w:p w14:paraId="53418842">
                        <w:pPr>
                          <w:spacing w:after="0" w:line="240" w:lineRule="auto"/>
                          <w:jc w:val="center"/>
                          <w:rPr>
                            <w:rFonts w:ascii="Times New Roman" w:hAnsi="Times New Roman" w:cs="Times New Roman"/>
                            <w:color w:val="000000" w:themeColor="text1"/>
                            <w:kern w:val="24"/>
                            <w:sz w:val="28"/>
                            <w:szCs w:val="28"/>
                            <w:lang w:val="kk-KZ"/>
                            <w14:textFill>
                              <w14:solidFill>
                                <w14:schemeClr w14:val="tx1"/>
                              </w14:solidFill>
                            </w14:textFill>
                          </w:rPr>
                        </w:pPr>
                        <w:r>
                          <w:rPr>
                            <w:rFonts w:ascii="Times New Roman" w:hAnsi="Times New Roman" w:cs="Times New Roman"/>
                            <w:color w:val="000000" w:themeColor="text1"/>
                            <w:kern w:val="24"/>
                            <w:sz w:val="28"/>
                            <w:szCs w:val="28"/>
                            <w:lang w:val="kk-KZ"/>
                            <w14:textFill>
                              <w14:solidFill>
                                <w14:schemeClr w14:val="tx1"/>
                              </w14:solidFill>
                            </w14:textFill>
                          </w:rPr>
                          <w:t>(n=84)</w:t>
                        </w:r>
                      </w:p>
                    </w:txbxContent>
                  </v:textbox>
                </v:rect>
                <v:rect id="Rectangle 436236856" o:spid="_x0000_s1026" o:spt="1" style="position:absolute;left:0;top:3454972;height:914400;width:1684638;v-text-anchor:middle;" fillcolor="#ADB9CA [1311]" filled="t" stroked="t" coordsize="21600,21600" o:gfxdata="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UaxjMMQAAADiAAAADwAAAAAAAAABACAAAAAiAAAAZHJzL2Rvd25yZXYueG1sUEsBAhQAFAAAAAgA&#10;h07iQDMvBZ47AAAAOQAAABAAAAAAAAAAAQAgAAAAEwEAAGRycy9zaGFwZXhtbC54bWxQSwUGAAAA&#10;AAYABgBbAQAAvQMAAAAA&#10;">
                  <v:fill on="t" focussize="0,0"/>
                  <v:stroke weight="0.5pt" color="#5B9BD5 [3204]" miterlimit="8" joinstyle="miter"/>
                  <v:imagedata o:title=""/>
                  <o:lock v:ext="edit" aspectratio="f"/>
                  <v:textbox>
                    <w:txbxContent>
                      <w:p w14:paraId="0BB464F4">
                        <w:pPr>
                          <w:spacing w:after="0" w:line="240" w:lineRule="auto"/>
                          <w:jc w:val="center"/>
                          <w:rPr>
                            <w:rFonts w:ascii="Times New Roman" w:hAnsi="Times New Roman" w:cs="Times New Roman"/>
                            <w:color w:val="000000" w:themeColor="text1"/>
                            <w:kern w:val="24"/>
                            <w:sz w:val="28"/>
                            <w:szCs w:val="28"/>
                            <w:lang w:val="kk-KZ"/>
                            <w14:textFill>
                              <w14:solidFill>
                                <w14:schemeClr w14:val="tx1"/>
                              </w14:solidFill>
                            </w14:textFill>
                          </w:rPr>
                        </w:pPr>
                        <w:r>
                          <w:rPr>
                            <w:rFonts w:ascii="Times New Roman" w:hAnsi="Times New Roman" w:cs="Times New Roman"/>
                            <w:color w:val="000000" w:themeColor="text1"/>
                            <w:kern w:val="24"/>
                            <w:sz w:val="28"/>
                            <w:szCs w:val="28"/>
                            <w:lang w:val="kk-KZ"/>
                            <w14:textFill>
                              <w14:solidFill>
                                <w14:schemeClr w14:val="tx1"/>
                              </w14:solidFill>
                            </w14:textFill>
                          </w:rPr>
                          <w:t>Дені сау жүкті</w:t>
                        </w:r>
                      </w:p>
                      <w:p w14:paraId="229197BE">
                        <w:pPr>
                          <w:spacing w:after="0" w:line="240" w:lineRule="auto"/>
                          <w:jc w:val="center"/>
                          <w:rPr>
                            <w:rFonts w:ascii="Times New Roman" w:hAnsi="Times New Roman" w:cs="Times New Roman"/>
                            <w:color w:val="000000" w:themeColor="text1"/>
                            <w:kern w:val="24"/>
                            <w:sz w:val="28"/>
                            <w:szCs w:val="28"/>
                            <w:lang w:val="kk-KZ"/>
                            <w14:textFill>
                              <w14:solidFill>
                                <w14:schemeClr w14:val="tx1"/>
                              </w14:solidFill>
                            </w14:textFill>
                          </w:rPr>
                        </w:pPr>
                        <w:r>
                          <w:rPr>
                            <w:rFonts w:ascii="Times New Roman" w:hAnsi="Times New Roman" w:cs="Times New Roman"/>
                            <w:color w:val="000000" w:themeColor="text1"/>
                            <w:kern w:val="24"/>
                            <w:sz w:val="28"/>
                            <w:szCs w:val="28"/>
                            <w:lang w:val="kk-KZ"/>
                            <w14:textFill>
                              <w14:solidFill>
                                <w14:schemeClr w14:val="tx1"/>
                              </w14:solidFill>
                            </w14:textFill>
                          </w:rPr>
                          <w:t>Бақылау тобы</w:t>
                        </w:r>
                      </w:p>
                      <w:p w14:paraId="46772938">
                        <w:pPr>
                          <w:spacing w:after="0" w:line="240" w:lineRule="auto"/>
                          <w:jc w:val="center"/>
                          <w:rPr>
                            <w:rFonts w:ascii="Times New Roman" w:hAnsi="Times New Roman" w:cs="Times New Roman"/>
                            <w:color w:val="000000" w:themeColor="text1"/>
                            <w:kern w:val="24"/>
                            <w:sz w:val="28"/>
                            <w:szCs w:val="28"/>
                            <w:lang w:val="kk-KZ"/>
                            <w14:textFill>
                              <w14:solidFill>
                                <w14:schemeClr w14:val="tx1"/>
                              </w14:solidFill>
                            </w14:textFill>
                          </w:rPr>
                        </w:pPr>
                        <w:r>
                          <w:rPr>
                            <w:rFonts w:ascii="Times New Roman" w:hAnsi="Times New Roman" w:cs="Times New Roman"/>
                            <w:color w:val="000000" w:themeColor="text1"/>
                            <w:kern w:val="24"/>
                            <w:sz w:val="28"/>
                            <w:szCs w:val="28"/>
                            <w:lang w:val="kk-KZ"/>
                            <w14:textFill>
                              <w14:solidFill>
                                <w14:schemeClr w14:val="tx1"/>
                              </w14:solidFill>
                            </w14:textFill>
                          </w:rPr>
                          <w:t>(n=43)</w:t>
                        </w:r>
                      </w:p>
                    </w:txbxContent>
                  </v:textbox>
                </v:rect>
                <v:rect id="Rectangle 1588463168" o:spid="_x0000_s1026" o:spt="1" style="position:absolute;left:1983259;top:3454972;height:914400;width:1618735;v-text-anchor:middle;" fillcolor="#ADB9CA [1311]" filled="t" stroked="t" coordsize="21600,21600" o:gfxdata="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xHBZ8MQAAADjAAAADwAAAAAAAAABACAAAAAiAAAAZHJzL2Rvd25yZXYueG1sUEsBAhQAFAAAAAgA&#10;h07iQDMvBZ47AAAAOQAAABAAAAAAAAAAAQAgAAAAEwEAAGRycy9zaGFwZXhtbC54bWxQSwUGAAAA&#10;AAYABgBbAQAAvQMAAAAA&#10;">
                  <v:fill on="t" focussize="0,0"/>
                  <v:stroke weight="0.5pt" color="#5B9BD5 [3204]" miterlimit="8" joinstyle="miter"/>
                  <v:imagedata o:title=""/>
                  <o:lock v:ext="edit" aspectratio="f"/>
                  <v:textbox>
                    <w:txbxContent>
                      <w:p w14:paraId="7A19132B">
                        <w:pPr>
                          <w:spacing w:after="0" w:line="240" w:lineRule="auto"/>
                          <w:jc w:val="center"/>
                          <w:rPr>
                            <w:rFonts w:ascii="Times New Roman" w:hAnsi="Times New Roman" w:cs="Times New Roman"/>
                            <w:color w:val="000000" w:themeColor="text1"/>
                            <w:kern w:val="24"/>
                            <w:sz w:val="28"/>
                            <w:szCs w:val="28"/>
                            <w:lang w:val="kk-KZ"/>
                            <w14:textFill>
                              <w14:solidFill>
                                <w14:schemeClr w14:val="tx1"/>
                              </w14:solidFill>
                            </w14:textFill>
                          </w:rPr>
                        </w:pPr>
                        <w:r>
                          <w:rPr>
                            <w:rFonts w:ascii="Times New Roman" w:hAnsi="Times New Roman" w:cs="Times New Roman"/>
                            <w:color w:val="000000" w:themeColor="text1"/>
                            <w:kern w:val="24"/>
                            <w:sz w:val="28"/>
                            <w:szCs w:val="28"/>
                            <w:lang w:val="kk-KZ"/>
                            <w14:textFill>
                              <w14:solidFill>
                                <w14:schemeClr w14:val="tx1"/>
                              </w14:solidFill>
                            </w14:textFill>
                          </w:rPr>
                          <w:t>Анемиясы бар жүкті</w:t>
                        </w:r>
                      </w:p>
                      <w:p w14:paraId="2F015C59">
                        <w:pPr>
                          <w:spacing w:after="0" w:line="240" w:lineRule="auto"/>
                          <w:jc w:val="center"/>
                          <w:rPr>
                            <w:rFonts w:ascii="Times New Roman" w:hAnsi="Times New Roman" w:cs="Times New Roman"/>
                            <w:color w:val="000000" w:themeColor="text1"/>
                            <w:kern w:val="24"/>
                            <w:sz w:val="28"/>
                            <w:szCs w:val="28"/>
                            <w:lang w:val="kk-KZ"/>
                            <w14:textFill>
                              <w14:solidFill>
                                <w14:schemeClr w14:val="tx1"/>
                              </w14:solidFill>
                            </w14:textFill>
                          </w:rPr>
                        </w:pPr>
                        <w:r>
                          <w:rPr>
                            <w:rFonts w:ascii="Times New Roman" w:hAnsi="Times New Roman" w:cs="Times New Roman"/>
                            <w:color w:val="000000" w:themeColor="text1"/>
                            <w:kern w:val="24"/>
                            <w:sz w:val="28"/>
                            <w:szCs w:val="28"/>
                            <w:lang w:val="kk-KZ"/>
                            <w14:textFill>
                              <w14:solidFill>
                                <w14:schemeClr w14:val="tx1"/>
                              </w14:solidFill>
                            </w14:textFill>
                          </w:rPr>
                          <w:t>(n=40)</w:t>
                        </w:r>
                      </w:p>
                    </w:txbxContent>
                  </v:textbox>
                </v:rect>
                <v:rect id="Rectangle 778941656" o:spid="_x0000_s1026" o:spt="1" style="position:absolute;left:4234249;top:3463939;height:914400;width:1692876;v-text-anchor:middle;" fillcolor="#ADB9CA [1311]" filled="t" stroked="t" coordsize="21600,21600" o:gfxdata="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">
                  <v:fill on="t" focussize="0,0"/>
                  <v:stroke weight="0.5pt" color="#5B9BD5 [3204]" miterlimit="8" joinstyle="miter"/>
                  <v:imagedata o:title=""/>
                  <o:lock v:ext="edit" aspectratio="f"/>
                  <v:textbox>
                    <w:txbxContent>
                      <w:p w14:paraId="5FD74225">
                        <w:pPr>
                          <w:spacing w:after="0" w:line="240" w:lineRule="auto"/>
                          <w:jc w:val="center"/>
                          <w:rPr>
                            <w:rFonts w:ascii="Times New Roman" w:hAnsi="Times New Roman" w:cs="Times New Roman"/>
                            <w:color w:val="000000" w:themeColor="text1"/>
                            <w:kern w:val="24"/>
                            <w:sz w:val="28"/>
                            <w:szCs w:val="28"/>
                            <w:lang w:val="kk-KZ"/>
                            <w14:textFill>
                              <w14:solidFill>
                                <w14:schemeClr w14:val="tx1"/>
                              </w14:solidFill>
                            </w14:textFill>
                          </w:rPr>
                        </w:pPr>
                        <w:r>
                          <w:rPr>
                            <w:rFonts w:ascii="Times New Roman" w:hAnsi="Times New Roman" w:cs="Times New Roman"/>
                            <w:color w:val="000000" w:themeColor="text1"/>
                            <w:kern w:val="24"/>
                            <w:sz w:val="28"/>
                            <w:szCs w:val="28"/>
                            <w:lang w:val="kk-KZ"/>
                            <w14:textFill>
                              <w14:solidFill>
                                <w14:schemeClr w14:val="tx1"/>
                              </w14:solidFill>
                            </w14:textFill>
                          </w:rPr>
                          <w:t>Семіздігі және</w:t>
                        </w:r>
                      </w:p>
                      <w:p w14:paraId="60115D08">
                        <w:pPr>
                          <w:spacing w:after="0" w:line="240" w:lineRule="auto"/>
                          <w:jc w:val="center"/>
                          <w:rPr>
                            <w:rFonts w:ascii="Times New Roman" w:hAnsi="Times New Roman" w:cs="Times New Roman"/>
                            <w:color w:val="000000" w:themeColor="text1"/>
                            <w:kern w:val="24"/>
                            <w:sz w:val="28"/>
                            <w:szCs w:val="28"/>
                            <w:lang w:val="kk-KZ"/>
                            <w14:textFill>
                              <w14:solidFill>
                                <w14:schemeClr w14:val="tx1"/>
                              </w14:solidFill>
                            </w14:textFill>
                          </w:rPr>
                        </w:pPr>
                        <w:r>
                          <w:rPr>
                            <w:rFonts w:ascii="Times New Roman" w:hAnsi="Times New Roman" w:cs="Times New Roman"/>
                            <w:color w:val="000000" w:themeColor="text1"/>
                            <w:kern w:val="24"/>
                            <w:sz w:val="28"/>
                            <w:szCs w:val="28"/>
                            <w:lang w:val="kk-KZ"/>
                            <w14:textFill>
                              <w14:solidFill>
                                <w14:schemeClr w14:val="tx1"/>
                              </w14:solidFill>
                            </w14:textFill>
                          </w:rPr>
                          <w:t>анемиясы бар жүкті</w:t>
                        </w:r>
                      </w:p>
                      <w:p w14:paraId="152AE2B6">
                        <w:pPr>
                          <w:spacing w:after="0" w:line="240" w:lineRule="auto"/>
                          <w:jc w:val="center"/>
                          <w:rPr>
                            <w:rFonts w:ascii="Times New Roman" w:hAnsi="Times New Roman" w:cs="Times New Roman"/>
                            <w:color w:val="000000" w:themeColor="text1"/>
                            <w:kern w:val="24"/>
                            <w:sz w:val="28"/>
                            <w:szCs w:val="28"/>
                            <w:lang w:val="kk-KZ"/>
                            <w14:textFill>
                              <w14:solidFill>
                                <w14:schemeClr w14:val="tx1"/>
                              </w14:solidFill>
                            </w14:textFill>
                          </w:rPr>
                        </w:pPr>
                        <w:r>
                          <w:rPr>
                            <w:rFonts w:ascii="Times New Roman" w:hAnsi="Times New Roman" w:cs="Times New Roman"/>
                            <w:color w:val="000000" w:themeColor="text1"/>
                            <w:kern w:val="24"/>
                            <w:sz w:val="28"/>
                            <w:szCs w:val="28"/>
                            <w:lang w:val="kk-KZ"/>
                            <w14:textFill>
                              <w14:solidFill>
                                <w14:schemeClr w14:val="tx1"/>
                              </w14:solidFill>
                            </w14:textFill>
                          </w:rPr>
                          <w:t>(n=48)</w:t>
                        </w:r>
                      </w:p>
                    </w:txbxContent>
                  </v:textbox>
                </v:rect>
                <v:rect id="Rectangle 257795315" o:spid="_x0000_s1026" o:spt="1" style="position:absolute;left:6236043;top:3463939;height:914400;width:1561070;v-text-anchor:middle;" fillcolor="#ADB9CA [1311]" filled="t" stroked="t" coordsize="21600,21600" o:gfxdata="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">
                  <v:fill on="t" focussize="0,0"/>
                  <v:stroke weight="0.5pt" color="#5B9BD5 [3204]" miterlimit="8" joinstyle="miter"/>
                  <v:imagedata o:title=""/>
                  <o:lock v:ext="edit" aspectratio="f"/>
                  <v:textbox>
                    <w:txbxContent>
                      <w:p w14:paraId="4E5AF1EC">
                        <w:pPr>
                          <w:spacing w:after="0" w:line="240" w:lineRule="auto"/>
                          <w:jc w:val="center"/>
                          <w:rPr>
                            <w:rFonts w:ascii="Times New Roman" w:hAnsi="Times New Roman" w:cs="Times New Roman"/>
                            <w:color w:val="000000" w:themeColor="text1"/>
                            <w:kern w:val="24"/>
                            <w:sz w:val="28"/>
                            <w:szCs w:val="28"/>
                            <w:lang w:val="kk-KZ"/>
                            <w14:textFill>
                              <w14:solidFill>
                                <w14:schemeClr w14:val="tx1"/>
                              </w14:solidFill>
                            </w14:textFill>
                          </w:rPr>
                        </w:pPr>
                        <w:r>
                          <w:rPr>
                            <w:rFonts w:ascii="Times New Roman" w:hAnsi="Times New Roman" w:cs="Times New Roman"/>
                            <w:color w:val="000000" w:themeColor="text1"/>
                            <w:kern w:val="24"/>
                            <w:sz w:val="28"/>
                            <w:szCs w:val="28"/>
                            <w:lang w:val="kk-KZ"/>
                            <w14:textFill>
                              <w14:solidFill>
                                <w14:schemeClr w14:val="tx1"/>
                              </w14:solidFill>
                            </w14:textFill>
                          </w:rPr>
                          <w:t>Семіздігі бар жүкті</w:t>
                        </w:r>
                      </w:p>
                      <w:p w14:paraId="11FFD36A">
                        <w:pPr>
                          <w:spacing w:after="0" w:line="240" w:lineRule="auto"/>
                          <w:jc w:val="center"/>
                          <w:rPr>
                            <w:rFonts w:ascii="Times New Roman" w:hAnsi="Times New Roman" w:cs="Times New Roman"/>
                            <w:color w:val="000000" w:themeColor="text1"/>
                            <w:kern w:val="24"/>
                            <w:sz w:val="28"/>
                            <w:szCs w:val="28"/>
                            <w:lang w:val="kk-KZ"/>
                            <w14:textFill>
                              <w14:solidFill>
                                <w14:schemeClr w14:val="tx1"/>
                              </w14:solidFill>
                            </w14:textFill>
                          </w:rPr>
                        </w:pPr>
                        <w:r>
                          <w:rPr>
                            <w:rFonts w:ascii="Times New Roman" w:hAnsi="Times New Roman" w:cs="Times New Roman"/>
                            <w:color w:val="000000" w:themeColor="text1"/>
                            <w:kern w:val="24"/>
                            <w:sz w:val="28"/>
                            <w:szCs w:val="28"/>
                            <w:lang w:val="kk-KZ"/>
                            <w14:textFill>
                              <w14:solidFill>
                                <w14:schemeClr w14:val="tx1"/>
                              </w14:solidFill>
                            </w14:textFill>
                          </w:rPr>
                          <w:t>(n=36)</w:t>
                        </w:r>
                      </w:p>
                    </w:txbxContent>
                  </v:textbox>
                </v:rect>
                <v:shape id="Arrow: Down 680240892" o:spid="_x0000_s1026" o:spt="67" type="#_x0000_t67" style="position:absolute;left:2977978;top:1660582;height:395418;width:411892;v-text-anchor:middle;" fillcolor="#71A6DB [3280]" filled="t" stroked="t" coordsize="21600,21600" o:gfxdata="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6e2QPsQAAADiAAAADwAAAAAAAAABACAAAAAiAAAAZHJzL2Rvd25yZXYueG1sUEsBAhQAFAAAAAgA&#10;h07iQDMvBZ47AAAAOQAAABAAAAAAAAAAAQAgAAAAEwEAAGRycy9zaGFwZXhtbC54bWxQSwUGAAAA&#10;AAYABgBbAQAAvQMAAAAA&#10;" adj="10800,5400">
                  <v:fill type="gradient" on="t" color2="#438AC9 [3184]" colors="0f #71A6DB;32768f #559BDB;65536f #438AC9" focus="100%" focussize="0,0" rotate="t">
                    <o:fill type="gradientUnscaled" v:ext="backwardCompatible"/>
                  </v:fill>
                  <v:stroke weight="0.5pt" color="#5B9BD5 [3204]" miterlimit="8" joinstyle="miter"/>
                  <v:imagedata o:title=""/>
                  <o:lock v:ext="edit" aspectratio="f"/>
                </v:shape>
                <v:shape id="Arrow: Down 1159920401" o:spid="_x0000_s1026" o:spt="67" type="#_x0000_t67" style="position:absolute;left:4518456;top:1660582;height:395418;width:411892;v-text-anchor:middle;" fillcolor="#71A6DB [3280]" filled="t" stroked="t" coordsize="21600,21600" o:gfxdata="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HME&#10;QR/CAAAA4wAAAA8AAAAAAAAAAQAgAAAAIgAAAGRycy9kb3ducmV2LnhtbFBLAQIUABQAAAAIAIdO&#10;4kAzLwWeOwAAADkAAAAQAAAAAAAAAAEAIAAAABEBAABkcnMvc2hhcGV4bWwueG1sUEsFBgAAAAAG&#10;AAYAWwEAALsDAAAAAA==&#10;" adj="10800,5400">
                  <v:fill type="gradient" on="t" color2="#438AC9 [3184]" colors="0f #71A6DB;32768f #559BDB;65536f #438AC9" focus="100%" focussize="0,0" rotate="t">
                    <o:fill type="gradientUnscaled" v:ext="backwardCompatible"/>
                  </v:fill>
                  <v:stroke weight="0.5pt" color="#5B9BD5 [3204]" miterlimit="8" joinstyle="miter"/>
                  <v:imagedata o:title=""/>
                  <o:lock v:ext="edit" aspectratio="f"/>
                </v:shape>
                <v:shape id="Arrow: Down 970989324" o:spid="_x0000_s1026" o:spt="67" type="#_x0000_t67" style="position:absolute;left:1186248;top:3037630;height:395418;width:411892;v-text-anchor:middle;" fillcolor="#71A6DB [3280]" filled="t" stroked="t" coordsize="21600,21600" o:gfxdata="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" adj="10800,5400">
                  <v:fill type="gradient" on="t" color2="#438AC9 [3184]" colors="0f #71A6DB;32768f #559BDB;65536f #438AC9" focus="100%" focussize="0,0" rotate="t">
                    <o:fill type="gradientUnscaled" v:ext="backwardCompatible"/>
                  </v:fill>
                  <v:stroke weight="0.5pt" color="#5B9BD5 [3204]" miterlimit="8" joinstyle="miter"/>
                  <v:imagedata o:title=""/>
                  <o:lock v:ext="edit" aspectratio="f"/>
                </v:shape>
                <v:shape id="Arrow: Down 1748465875" o:spid="_x0000_s1026" o:spt="67" type="#_x0000_t67" style="position:absolute;left:2977977;top:3037630;height:395418;width:411892;v-text-anchor:middle;" fillcolor="#71A6DB [3280]" filled="t" stroked="t" coordsize="21600,21600" o:gfxdata="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AtS&#10;WgLCAAAA4wAAAA8AAAAAAAAAAQAgAAAAIgAAAGRycy9kb3ducmV2LnhtbFBLAQIUABQAAAAIAIdO&#10;4kAzLwWeOwAAADkAAAAQAAAAAAAAAAEAIAAAABEBAABkcnMvc2hhcGV4bWwueG1sUEsFBgAAAAAG&#10;AAYAWwEAALsDAAAAAA==&#10;" adj="10800,5400">
                  <v:fill type="gradient" on="t" color2="#438AC9 [3184]" colors="0f #71A6DB;32768f #559BDB;65536f #438AC9" focus="100%" focussize="0,0" rotate="t">
                    <o:fill type="gradientUnscaled" v:ext="backwardCompatible"/>
                  </v:fill>
                  <v:stroke weight="0.5pt" color="#5B9BD5 [3204]" miterlimit="8" joinstyle="miter"/>
                  <v:imagedata o:title=""/>
                  <o:lock v:ext="edit" aspectratio="f"/>
                </v:shape>
                <v:shape id="Arrow: Down 284937535" o:spid="_x0000_s1026" o:spt="67" type="#_x0000_t67" style="position:absolute;left:4518456;top:3059554;height:395418;width:411892;v-text-anchor:middle;" fillcolor="#71A6DB [3280]" filled="t" stroked="t" coordsize="21600,21600" o:gfxdata="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" adj="10800,5400">
                  <v:fill type="gradient" on="t" color2="#438AC9 [3184]" colors="0f #71A6DB;32768f #559BDB;65536f #438AC9" focus="100%" focussize="0,0" rotate="t">
                    <o:fill type="gradientUnscaled" v:ext="backwardCompatible"/>
                  </v:fill>
                  <v:stroke weight="0.5pt" color="#5B9BD5 [3204]" miterlimit="8" joinstyle="miter"/>
                  <v:imagedata o:title=""/>
                  <o:lock v:ext="edit" aspectratio="f"/>
                </v:shape>
                <v:shape id="Arrow: Down 94260741" o:spid="_x0000_s1026" o:spt="67" type="#_x0000_t67" style="position:absolute;left:6604686;top:3037630;height:395418;width:411892;v-text-anchor:middle;" fillcolor="#71A6DB [3280]" filled="t" stroked="t" coordsize="21600,21600" o:gfxdata="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Usr2ucQAAADhAAAADwAAAAAAAAABACAAAAAiAAAAZHJzL2Rvd25yZXYueG1sUEsBAhQAFAAAAAgA&#10;h07iQDMvBZ47AAAAOQAAABAAAAAAAAAAAQAgAAAAEwEAAGRycy9zaGFwZXhtbC54bWxQSwUGAAAA&#10;AAYABgBbAQAAvQMAAAAA&#10;" adj="10800,5400">
                  <v:fill type="gradient" on="t" color2="#438AC9 [3184]" colors="0f #71A6DB;32768f #559BDB;65536f #438AC9" focus="100%" focussize="0,0" rotate="t">
                    <o:fill type="gradientUnscaled" v:ext="backwardCompatible"/>
                  </v:fill>
                  <v:stroke weight="0.5pt" color="#5B9BD5 [3204]" miterlimit="8" joinstyle="miter"/>
                  <v:imagedata o:title=""/>
                  <o:lock v:ext="edit" aspectratio="f"/>
                </v:shape>
                <v:shape id="TextBox 19" o:spid="_x0000_s1026" o:spt="202" type="#_x0000_t202" style="position:absolute;left:1514793;top:52964;height:494372;width:5526552;" filled="f" stroked="f" coordsize="21600,21600" o:gfxdata="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IdU&#10;4nHCAAAA4gAAAA8AAAAAAAAAAQAgAAAAIgAAAGRycy9kb3ducmV2LnhtbFBLAQIUABQAAAAIAIdO&#10;4kAzLwWeOwAAADkAAAAQAAAAAAAAAAEAIAAAABEBAABkcnMvc2hhcGV4bWwueG1sUEsFBgAAAAAG&#10;AAYAWwEAALsDAAAAAA==&#10;">
                  <v:fill on="f" focussize="0,0"/>
                  <v:stroke on="f"/>
                  <v:imagedata o:title=""/>
                  <o:lock v:ext="edit" aspectratio="f"/>
                  <v:textbox>
                    <w:txbxContent>
                      <w:p w14:paraId="1EE951A5">
                        <w:pPr>
                          <w:ind w:firstLine="420" w:firstLineChars="150"/>
                          <w:rPr>
                            <w:rFonts w:ascii="Times New Roman" w:hAnsi="Times New Roman" w:cs="Times New Roman"/>
                            <w:b/>
                            <w:bCs/>
                            <w:color w:val="000000" w:themeColor="text1"/>
                            <w:kern w:val="24"/>
                            <w:sz w:val="28"/>
                            <w:szCs w:val="28"/>
                            <w14:textFill>
                              <w14:solidFill>
                                <w14:schemeClr w14:val="tx1"/>
                              </w14:solidFill>
                            </w14:textFill>
                          </w:rPr>
                        </w:pPr>
                        <w:r>
                          <w:rPr>
                            <w:rFonts w:ascii="Times New Roman" w:hAnsi="Times New Roman" w:cs="Times New Roman"/>
                            <w:b/>
                            <w:bCs/>
                            <w:color w:val="000000" w:themeColor="text1"/>
                            <w:kern w:val="24"/>
                            <w:sz w:val="28"/>
                            <w:szCs w:val="28"/>
                            <w14:textFill>
                              <w14:solidFill>
                                <w14:schemeClr w14:val="tx1"/>
                              </w14:solidFill>
                            </w14:textFill>
                          </w:rPr>
                          <w:t>К</w:t>
                        </w:r>
                        <w:r>
                          <w:rPr>
                            <w:rFonts w:ascii="Times New Roman" w:hAnsi="Times New Roman" w:cs="Times New Roman"/>
                            <w:b/>
                            <w:bCs/>
                            <w:color w:val="000000" w:themeColor="text1"/>
                            <w:kern w:val="24"/>
                            <w:sz w:val="28"/>
                            <w:szCs w:val="28"/>
                            <w:lang w:val="kk-KZ"/>
                            <w14:textFill>
                              <w14:solidFill>
                                <w14:schemeClr w14:val="tx1"/>
                              </w14:solidFill>
                            </w14:textFill>
                          </w:rPr>
                          <w:t>ездейсоқ бақылау дизайны</w:t>
                        </w:r>
                      </w:p>
                    </w:txbxContent>
                  </v:textbox>
                </v:shape>
              </v:group>
            </w:pict>
          </mc:Fallback>
        </mc:AlternateContent>
      </w:r>
      <w:r>
        <w:rPr>
          <w:rFonts w:ascii="Times New Roman" w:hAnsi="Times New Roman" w:eastAsia="Times New Roman" w:cs="Times New Roman"/>
          <w:sz w:val="28"/>
          <w:szCs w:val="28"/>
          <w:lang w:val="kk-KZ" w:eastAsia="ru-RU"/>
        </w:rPr>
        <w:t>Бұл зерттеу кездейсоқ-бақылау әдісі бағытындағы клиникалық зерттеу жұмысы деп саналады. Оған жүктіліктің 25–40 аптасына дейінгі кезеңдегі 167 жүкті әйел қатысты. Зерттеу «Қарағанды медициналық университетінің» КеАҚ-нің Өмір туралы ғылымдар институтында және КМК «Облыстық клиникалық ауруханасының» №1 Перинаталдық орталығында жүргізілді. Зерттеуге қатысушы әйелдердің жасы 20–37 жас аралығында болды. Клиникалық деректер жүкті әйелдер акушерлік стационарға түскен кезде толтырылатын ауру тарихынан, сондай-ақ алмасу картасынан және сауалнама нәтижелерінен алынды. Зерттеу дизайнының сызбасы (сурет–2) төменде көрсетілген:</w:t>
      </w:r>
    </w:p>
    <w:p w14:paraId="59C4FA0B">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val="kk-KZ" w:eastAsia="ru-RU"/>
        </w:rPr>
      </w:pPr>
    </w:p>
    <w:p w14:paraId="74B94CBD">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val="kk-KZ" w:eastAsia="ru-RU"/>
        </w:rPr>
      </w:pPr>
    </w:p>
    <w:p w14:paraId="03C1D936">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val="kk-KZ" w:eastAsia="ru-RU"/>
        </w:rPr>
      </w:pPr>
    </w:p>
    <w:p w14:paraId="3EB6AB7C">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val="kk-KZ" w:eastAsia="ru-RU"/>
        </w:rPr>
      </w:pPr>
    </w:p>
    <w:p w14:paraId="00DD76BD">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val="kk-KZ" w:eastAsia="ru-RU"/>
        </w:rPr>
      </w:pPr>
    </w:p>
    <w:p w14:paraId="4B20D719">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val="kk-KZ" w:eastAsia="ru-RU"/>
        </w:rPr>
      </w:pPr>
    </w:p>
    <w:p w14:paraId="45E8BAE4">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val="kk-KZ" w:eastAsia="ru-RU"/>
        </w:rPr>
      </w:pPr>
    </w:p>
    <w:p w14:paraId="0C5695D9">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val="kk-KZ" w:eastAsia="ru-RU"/>
        </w:rPr>
      </w:pPr>
    </w:p>
    <w:p w14:paraId="70BF5136">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val="kk-KZ" w:eastAsia="ru-RU"/>
        </w:rPr>
      </w:pPr>
    </w:p>
    <w:p w14:paraId="769B8B56">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val="kk-KZ" w:eastAsia="ru-RU"/>
        </w:rPr>
      </w:pPr>
      <w:r>
        <w:rPr>
          <w:rFonts w:ascii="Times New Roman" w:hAnsi="Times New Roman" w:eastAsia="Times New Roman" w:cs="Times New Roman"/>
          <w:sz w:val="28"/>
          <w:szCs w:val="28"/>
          <w:lang w:val="kk-KZ" w:eastAsia="ru-RU"/>
        </w:rPr>
        <w:t xml:space="preserve"> </w:t>
      </w:r>
    </w:p>
    <w:p w14:paraId="483D52DC">
      <w:pPr>
        <w:widowControl w:val="0"/>
        <w:autoSpaceDE w:val="0"/>
        <w:autoSpaceDN w:val="0"/>
        <w:spacing w:after="0" w:line="276" w:lineRule="auto"/>
        <w:jc w:val="both"/>
        <w:outlineLvl w:val="0"/>
        <w:rPr>
          <w:rFonts w:ascii="Times New Roman" w:hAnsi="Times New Roman" w:eastAsia="Times New Roman" w:cs="Times New Roman"/>
          <w:sz w:val="28"/>
          <w:szCs w:val="28"/>
          <w:lang w:val="kk-KZ" w:eastAsia="ru-RU"/>
        </w:rPr>
      </w:pPr>
    </w:p>
    <w:p w14:paraId="73A09C0F">
      <w:pPr>
        <w:widowControl w:val="0"/>
        <w:autoSpaceDE w:val="0"/>
        <w:autoSpaceDN w:val="0"/>
        <w:spacing w:after="0" w:line="276" w:lineRule="auto"/>
        <w:jc w:val="both"/>
        <w:outlineLvl w:val="0"/>
        <w:rPr>
          <w:rFonts w:ascii="Times New Roman" w:hAnsi="Times New Roman" w:eastAsia="Times New Roman" w:cs="Times New Roman"/>
          <w:sz w:val="28"/>
          <w:szCs w:val="28"/>
          <w:lang w:val="kk-KZ" w:eastAsia="ru-RU"/>
        </w:rPr>
      </w:pPr>
    </w:p>
    <w:p w14:paraId="738FD8FE">
      <w:pPr>
        <w:widowControl w:val="0"/>
        <w:autoSpaceDE w:val="0"/>
        <w:autoSpaceDN w:val="0"/>
        <w:spacing w:after="0" w:line="276" w:lineRule="auto"/>
        <w:jc w:val="both"/>
        <w:outlineLvl w:val="0"/>
        <w:rPr>
          <w:rFonts w:ascii="Times New Roman" w:hAnsi="Times New Roman" w:eastAsia="Times New Roman" w:cs="Times New Roman"/>
          <w:sz w:val="28"/>
          <w:szCs w:val="28"/>
          <w:lang w:val="kk-KZ" w:eastAsia="ru-RU"/>
        </w:rPr>
      </w:pPr>
    </w:p>
    <w:p w14:paraId="708477B0">
      <w:pPr>
        <w:widowControl w:val="0"/>
        <w:autoSpaceDE w:val="0"/>
        <w:autoSpaceDN w:val="0"/>
        <w:spacing w:after="0" w:line="276" w:lineRule="auto"/>
        <w:jc w:val="both"/>
        <w:outlineLvl w:val="0"/>
        <w:rPr>
          <w:rFonts w:ascii="Times New Roman" w:hAnsi="Times New Roman" w:eastAsia="Times New Roman" w:cs="Times New Roman"/>
          <w:sz w:val="28"/>
          <w:szCs w:val="28"/>
          <w:lang w:val="kk-KZ" w:eastAsia="ru-RU"/>
        </w:rPr>
      </w:pPr>
    </w:p>
    <w:p w14:paraId="24F09F0A">
      <w:pPr>
        <w:widowControl w:val="0"/>
        <w:autoSpaceDE w:val="0"/>
        <w:autoSpaceDN w:val="0"/>
        <w:spacing w:after="0" w:line="276" w:lineRule="auto"/>
        <w:jc w:val="both"/>
        <w:outlineLvl w:val="0"/>
        <w:rPr>
          <w:rFonts w:ascii="Times New Roman" w:hAnsi="Times New Roman" w:eastAsia="Times New Roman" w:cs="Times New Roman"/>
          <w:sz w:val="28"/>
          <w:szCs w:val="28"/>
          <w:lang w:val="kk-KZ" w:eastAsia="ru-RU"/>
        </w:rPr>
      </w:pPr>
    </w:p>
    <w:p w14:paraId="3E11FF1A">
      <w:pPr>
        <w:widowControl w:val="0"/>
        <w:autoSpaceDE w:val="0"/>
        <w:autoSpaceDN w:val="0"/>
        <w:spacing w:after="0" w:line="276" w:lineRule="auto"/>
        <w:jc w:val="both"/>
        <w:outlineLvl w:val="0"/>
        <w:rPr>
          <w:rFonts w:ascii="Times New Roman" w:hAnsi="Times New Roman" w:eastAsia="Times New Roman" w:cs="Times New Roman"/>
          <w:sz w:val="28"/>
          <w:szCs w:val="28"/>
          <w:lang w:val="kk-KZ" w:eastAsia="ru-RU"/>
        </w:rPr>
      </w:pPr>
    </w:p>
    <w:p w14:paraId="53745253">
      <w:pPr>
        <w:widowControl w:val="0"/>
        <w:autoSpaceDE w:val="0"/>
        <w:autoSpaceDN w:val="0"/>
        <w:spacing w:after="0" w:line="276" w:lineRule="auto"/>
        <w:jc w:val="both"/>
        <w:outlineLvl w:val="0"/>
        <w:rPr>
          <w:rFonts w:ascii="Times New Roman" w:hAnsi="Times New Roman" w:eastAsia="Times New Roman" w:cs="Times New Roman"/>
          <w:sz w:val="28"/>
          <w:szCs w:val="28"/>
          <w:lang w:val="kk-KZ" w:eastAsia="ru-RU"/>
        </w:rPr>
      </w:pPr>
    </w:p>
    <w:p w14:paraId="308717BD">
      <w:pPr>
        <w:widowControl w:val="0"/>
        <w:autoSpaceDE w:val="0"/>
        <w:autoSpaceDN w:val="0"/>
        <w:spacing w:after="0" w:line="276" w:lineRule="auto"/>
        <w:jc w:val="both"/>
        <w:outlineLvl w:val="0"/>
        <w:rPr>
          <w:rFonts w:ascii="Times New Roman" w:hAnsi="Times New Roman" w:eastAsia="Times New Roman" w:cs="Times New Roman"/>
          <w:sz w:val="28"/>
          <w:szCs w:val="28"/>
          <w:lang w:val="kk-KZ" w:eastAsia="ru-RU"/>
        </w:rPr>
      </w:pPr>
    </w:p>
    <w:p w14:paraId="49A6827B">
      <w:pPr>
        <w:widowControl w:val="0"/>
        <w:autoSpaceDE w:val="0"/>
        <w:autoSpaceDN w:val="0"/>
        <w:spacing w:after="0" w:line="276" w:lineRule="auto"/>
        <w:jc w:val="both"/>
        <w:outlineLvl w:val="0"/>
        <w:rPr>
          <w:rFonts w:ascii="Times New Roman" w:hAnsi="Times New Roman" w:eastAsia="Times New Roman" w:cs="Times New Roman"/>
          <w:sz w:val="28"/>
          <w:szCs w:val="28"/>
          <w:lang w:val="kk-KZ" w:eastAsia="ru-RU"/>
        </w:rPr>
      </w:pPr>
      <w:r>
        <w:rPr>
          <w:rFonts w:ascii="Times New Roman" w:hAnsi="Times New Roman" w:eastAsia="Times New Roman" w:cs="Times New Roman"/>
          <w:sz w:val="28"/>
          <w:szCs w:val="28"/>
          <w:lang w:val="kk-KZ" w:eastAsia="ru-RU"/>
        </w:rPr>
        <w:t xml:space="preserve">  </w:t>
      </w:r>
    </w:p>
    <w:p w14:paraId="3662DA5D">
      <w:pPr>
        <w:widowControl w:val="0"/>
        <w:autoSpaceDE w:val="0"/>
        <w:autoSpaceDN w:val="0"/>
        <w:spacing w:after="0" w:line="276" w:lineRule="auto"/>
        <w:jc w:val="both"/>
        <w:outlineLvl w:val="0"/>
        <w:rPr>
          <w:rFonts w:ascii="Times New Roman" w:hAnsi="Times New Roman" w:eastAsia="Times New Roman" w:cs="Times New Roman"/>
          <w:sz w:val="28"/>
          <w:szCs w:val="28"/>
          <w:lang w:val="kk-KZ" w:eastAsia="ru-RU"/>
        </w:rPr>
      </w:pPr>
    </w:p>
    <w:p w14:paraId="43674DBC">
      <w:pPr>
        <w:widowControl w:val="0"/>
        <w:autoSpaceDE w:val="0"/>
        <w:autoSpaceDN w:val="0"/>
        <w:spacing w:after="0" w:line="276" w:lineRule="auto"/>
        <w:jc w:val="both"/>
        <w:outlineLvl w:val="0"/>
        <w:rPr>
          <w:rFonts w:ascii="Times New Roman" w:hAnsi="Times New Roman" w:eastAsia="Times New Roman" w:cs="Times New Roman"/>
          <w:sz w:val="28"/>
          <w:szCs w:val="28"/>
          <w:lang w:val="kk-KZ" w:eastAsia="ru-RU"/>
        </w:rPr>
      </w:pPr>
    </w:p>
    <w:p w14:paraId="339DCA35">
      <w:pPr>
        <w:widowControl w:val="0"/>
        <w:autoSpaceDE w:val="0"/>
        <w:autoSpaceDN w:val="0"/>
        <w:spacing w:after="0" w:line="276" w:lineRule="auto"/>
        <w:jc w:val="both"/>
        <w:outlineLvl w:val="0"/>
        <w:rPr>
          <w:rFonts w:ascii="Times New Roman" w:hAnsi="Times New Roman" w:eastAsia="Times New Roman" w:cs="Times New Roman"/>
          <w:sz w:val="28"/>
          <w:szCs w:val="28"/>
          <w:lang w:val="kk-KZ" w:eastAsia="ru-RU"/>
        </w:rPr>
      </w:pPr>
    </w:p>
    <w:p w14:paraId="13E873D7">
      <w:pPr>
        <w:widowControl w:val="0"/>
        <w:autoSpaceDE w:val="0"/>
        <w:autoSpaceDN w:val="0"/>
        <w:spacing w:after="0" w:line="276" w:lineRule="auto"/>
        <w:jc w:val="both"/>
        <w:outlineLvl w:val="0"/>
        <w:rPr>
          <w:rFonts w:ascii="Times New Roman" w:hAnsi="Times New Roman" w:eastAsia="Times New Roman" w:cs="Times New Roman"/>
          <w:sz w:val="28"/>
          <w:szCs w:val="28"/>
          <w:lang w:val="kk-KZ" w:eastAsia="ru-RU"/>
        </w:rPr>
      </w:pPr>
    </w:p>
    <w:p w14:paraId="57B0B9B3">
      <w:pPr>
        <w:widowControl w:val="0"/>
        <w:autoSpaceDE w:val="0"/>
        <w:autoSpaceDN w:val="0"/>
        <w:spacing w:after="0" w:line="276" w:lineRule="auto"/>
        <w:jc w:val="both"/>
        <w:outlineLvl w:val="0"/>
        <w:rPr>
          <w:rFonts w:ascii="Times New Roman" w:hAnsi="Times New Roman" w:eastAsia="Times New Roman" w:cs="Times New Roman"/>
          <w:sz w:val="28"/>
          <w:szCs w:val="28"/>
          <w:lang w:val="kk-KZ" w:eastAsia="ru-RU"/>
        </w:rPr>
      </w:pPr>
    </w:p>
    <w:p w14:paraId="31D0E384">
      <w:pPr>
        <w:widowControl w:val="0"/>
        <w:autoSpaceDE w:val="0"/>
        <w:autoSpaceDN w:val="0"/>
        <w:spacing w:after="0" w:line="276" w:lineRule="auto"/>
        <w:jc w:val="both"/>
        <w:outlineLvl w:val="0"/>
        <w:rPr>
          <w:rFonts w:ascii="Times New Roman" w:hAnsi="Times New Roman" w:eastAsia="Times New Roman" w:cs="Times New Roman"/>
          <w:sz w:val="28"/>
          <w:szCs w:val="28"/>
          <w:lang w:val="kk-KZ" w:eastAsia="ru-RU"/>
        </w:rPr>
      </w:pPr>
      <w:r>
        <w:rPr>
          <w:rFonts w:ascii="Times New Roman" w:hAnsi="Times New Roman" w:eastAsia="Times New Roman" w:cs="Times New Roman"/>
          <w:sz w:val="28"/>
          <w:szCs w:val="28"/>
          <w:lang w:val="kk-KZ" w:eastAsia="ru-RU"/>
        </w:rPr>
        <w:t>Сурет – 2. Зерттеу жүргізу дизайнының сызбасы</w:t>
      </w:r>
    </w:p>
    <w:p w14:paraId="35B5107A">
      <w:pPr>
        <w:widowControl w:val="0"/>
        <w:autoSpaceDE w:val="0"/>
        <w:autoSpaceDN w:val="0"/>
        <w:spacing w:after="0" w:line="276" w:lineRule="auto"/>
        <w:jc w:val="both"/>
        <w:outlineLvl w:val="0"/>
        <w:rPr>
          <w:rFonts w:ascii="Times New Roman" w:hAnsi="Times New Roman" w:eastAsia="Times New Roman" w:cs="Times New Roman"/>
          <w:sz w:val="28"/>
          <w:szCs w:val="28"/>
          <w:lang w:val="kk-KZ" w:eastAsia="ru-RU"/>
        </w:rPr>
      </w:pPr>
    </w:p>
    <w:p w14:paraId="7E45E3C5">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val="kk-KZ" w:eastAsia="ru-RU"/>
        </w:rPr>
      </w:pPr>
      <w:r>
        <w:rPr>
          <w:rFonts w:ascii="Times New Roman" w:hAnsi="Times New Roman" w:eastAsia="Times New Roman" w:cs="Times New Roman"/>
          <w:b/>
          <w:sz w:val="28"/>
          <w:szCs w:val="28"/>
          <w:lang w:val="kk-KZ" w:eastAsia="ru-RU"/>
        </w:rPr>
        <w:t>Зерттеу жұмысына қатысушылар және темір тапшылығы анемиясын диагностикалау</w:t>
      </w:r>
    </w:p>
    <w:p w14:paraId="5A3FF965">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val="kk-KZ" w:eastAsia="ru-RU"/>
        </w:rPr>
      </w:pPr>
      <w:r>
        <w:rPr>
          <w:rFonts w:ascii="Times New Roman" w:hAnsi="Times New Roman" w:eastAsia="Times New Roman" w:cs="Times New Roman"/>
          <w:sz w:val="28"/>
          <w:szCs w:val="28"/>
          <w:lang w:val="kk-KZ" w:eastAsia="ru-RU"/>
        </w:rPr>
        <w:t>Бұл зерттеуге темір тапшылығы анемиясы (ТТА) бар жүкті әйелдер қатысты. ТТА-ның диагностикасы Қазақстан Республикасының Денсаулық сақтау министрлігінің Медициналық қызметтердің сапасы бойынша Біріккен комитетінің 2020 жылдың 30 қазанында бекіткен «Жүктілердің дефициттік анемиясы» атты №119 хаттамасына сәйкес жүргізілді.</w:t>
      </w:r>
    </w:p>
    <w:p w14:paraId="634F8935">
      <w:pPr>
        <w:widowControl w:val="0"/>
        <w:autoSpaceDE w:val="0"/>
        <w:autoSpaceDN w:val="0"/>
        <w:spacing w:after="0" w:line="276" w:lineRule="auto"/>
        <w:ind w:firstLine="709"/>
        <w:jc w:val="both"/>
        <w:outlineLvl w:val="0"/>
        <w:rPr>
          <w:rFonts w:ascii="Times New Roman" w:hAnsi="Times New Roman" w:eastAsia="Times New Roman" w:cs="Times New Roman"/>
          <w:b/>
          <w:sz w:val="28"/>
          <w:szCs w:val="28"/>
          <w:lang w:val="kk-KZ" w:eastAsia="ru-RU"/>
        </w:rPr>
      </w:pPr>
      <w:r>
        <w:rPr>
          <w:rFonts w:ascii="Times New Roman" w:hAnsi="Times New Roman" w:eastAsia="Times New Roman" w:cs="Times New Roman"/>
          <w:b/>
          <w:sz w:val="28"/>
          <w:szCs w:val="28"/>
          <w:lang w:val="kk-KZ" w:eastAsia="ru-RU"/>
        </w:rPr>
        <w:t>Темір тапшылығы анемиясының диагностикасы</w:t>
      </w:r>
    </w:p>
    <w:p w14:paraId="7D4F9735">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val="kk-KZ" w:eastAsia="ru-RU"/>
        </w:rPr>
        <w:t xml:space="preserve">Жүкті әйелдердегі ТТА диагнозы 2–кестеде көрстілгендей микросфероцитарлы (MCV &lt; 80 фл) және гипохромды (MCH &lt; 27 пг) көрсеткіштерге негізделіп қойылды. ТТА кезінде жүктілердің 40%–ында MCV деңгейі қалыпты болуы мүмкін, себебі жүктілік кезінде гемопоэздің белсенділігі микроцитоз белгілерімен жүреді, бұл ТТА белгілерімен ұқсас болуы ықтимал. </w:t>
      </w:r>
      <w:r>
        <w:rPr>
          <w:rFonts w:ascii="Times New Roman" w:hAnsi="Times New Roman" w:eastAsia="Times New Roman" w:cs="Times New Roman"/>
          <w:sz w:val="28"/>
          <w:szCs w:val="28"/>
          <w:lang w:eastAsia="ru-RU"/>
        </w:rPr>
        <w:t>Осыған орай, MCV көрсеткіші ТТА диагностикасында ерекше маркер болып табылмайды. Дегенмен, темір алмасуын зертханалық тексеру мүмкін болмаған жағдайда, төмен MCV және жоғары RDW көрсеткіштері негізінде темірмен емдеуді бастауға мүмкіндік бар.</w:t>
      </w:r>
    </w:p>
    <w:p w14:paraId="7168CE1A">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ТТ нақтылау үшін қосымша биохимиялық көрсеткіштер қолданылды: сарысудағы жалпы темір байланыстыру қабілетінің (ЖТБҚ) жоғарылауы, сарысудағы ферритин мен темір деңгейінің төмендеуі. Бұл көрсеткіштер ТТА диагнозын дәлелдеуде маңызды рөл атқарады [29].</w:t>
      </w:r>
    </w:p>
    <w:p w14:paraId="5CB7B367">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 </w:t>
      </w:r>
    </w:p>
    <w:p w14:paraId="0E6A6F48">
      <w:pPr>
        <w:widowControl w:val="0"/>
        <w:autoSpaceDE w:val="0"/>
        <w:autoSpaceDN w:val="0"/>
        <w:spacing w:after="0" w:line="276" w:lineRule="auto"/>
        <w:ind w:firstLine="709"/>
        <w:jc w:val="both"/>
        <w:outlineLvl w:val="0"/>
        <w:rPr>
          <w:rFonts w:ascii="Times New Roman" w:hAnsi="Times New Roman" w:eastAsia="Times New Roman" w:cs="Times New Roman"/>
          <w:bCs/>
          <w:color w:val="202124"/>
          <w:sz w:val="28"/>
          <w:szCs w:val="28"/>
          <w:shd w:val="clear" w:color="auto" w:fill="FFFFFF"/>
          <w:lang w:eastAsia="ru-RU"/>
        </w:rPr>
      </w:pPr>
      <w:r>
        <w:rPr>
          <w:rFonts w:ascii="Times New Roman" w:hAnsi="Times New Roman" w:eastAsia="Times New Roman" w:cs="Times New Roman"/>
          <w:bCs/>
          <w:color w:val="202124"/>
          <w:sz w:val="28"/>
          <w:szCs w:val="28"/>
          <w:shd w:val="clear" w:color="auto" w:fill="FFFFFF"/>
          <w:lang w:eastAsia="ru-RU"/>
        </w:rPr>
        <w:t>Кесте 2 – ТТА лабораториялық көрсеткіштері</w:t>
      </w:r>
    </w:p>
    <w:p w14:paraId="243BD01C">
      <w:pPr>
        <w:widowControl w:val="0"/>
        <w:autoSpaceDE w:val="0"/>
        <w:autoSpaceDN w:val="0"/>
        <w:spacing w:after="0" w:line="276" w:lineRule="auto"/>
        <w:ind w:firstLine="709"/>
        <w:jc w:val="both"/>
        <w:outlineLvl w:val="0"/>
        <w:rPr>
          <w:rFonts w:ascii="Times New Roman" w:hAnsi="Times New Roman" w:eastAsia="Times New Roman" w:cs="Times New Roman"/>
          <w:bCs/>
          <w:color w:val="202124"/>
          <w:sz w:val="28"/>
          <w:szCs w:val="28"/>
          <w:shd w:val="clear" w:color="auto" w:fill="FFFFFF"/>
          <w:lang w:eastAsia="ru-RU"/>
        </w:rPr>
      </w:pPr>
    </w:p>
    <w:tbl>
      <w:tblPr>
        <w:tblStyle w:val="5"/>
        <w:tblW w:w="0" w:type="auto"/>
        <w:tblInd w:w="0" w:type="dxa"/>
        <w:tblLayout w:type="autofit"/>
        <w:tblCellMar>
          <w:top w:w="15" w:type="dxa"/>
          <w:left w:w="15" w:type="dxa"/>
          <w:bottom w:w="15" w:type="dxa"/>
          <w:right w:w="15" w:type="dxa"/>
        </w:tblCellMar>
      </w:tblPr>
      <w:tblGrid>
        <w:gridCol w:w="310"/>
        <w:gridCol w:w="3271"/>
        <w:gridCol w:w="3336"/>
        <w:gridCol w:w="2468"/>
      </w:tblGrid>
      <w:tr w14:paraId="4B433EA3">
        <w:tblPrEx>
          <w:tblCellMar>
            <w:top w:w="15" w:type="dxa"/>
            <w:left w:w="15" w:type="dxa"/>
            <w:bottom w:w="15" w:type="dxa"/>
            <w:right w:w="15" w:type="dxa"/>
          </w:tblCellMar>
        </w:tblPrEx>
        <w:tc>
          <w:tcPr>
            <w:tcW w:w="0" w:type="auto"/>
            <w:tcBorders>
              <w:top w:val="outset" w:color="auto" w:sz="6" w:space="0"/>
              <w:left w:val="outset" w:color="auto" w:sz="6" w:space="0"/>
              <w:bottom w:val="outset" w:color="auto" w:sz="6" w:space="0"/>
              <w:right w:val="outset" w:color="auto" w:sz="6" w:space="0"/>
            </w:tcBorders>
            <w:vAlign w:val="center"/>
          </w:tcPr>
          <w:p w14:paraId="25AB896E">
            <w:pPr>
              <w:autoSpaceDE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w:t>
            </w:r>
          </w:p>
        </w:tc>
        <w:tc>
          <w:tcPr>
            <w:tcW w:w="0" w:type="auto"/>
            <w:tcBorders>
              <w:top w:val="outset" w:color="auto" w:sz="6" w:space="0"/>
              <w:left w:val="nil"/>
              <w:bottom w:val="outset" w:color="auto" w:sz="6" w:space="0"/>
              <w:right w:val="outset" w:color="auto" w:sz="6" w:space="0"/>
            </w:tcBorders>
            <w:vAlign w:val="center"/>
          </w:tcPr>
          <w:p w14:paraId="40C410D6">
            <w:pPr>
              <w:autoSpaceDE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b/>
                <w:bCs/>
                <w:sz w:val="28"/>
                <w:szCs w:val="28"/>
              </w:rPr>
              <w:t>Лабораториялық көрсеткіштер</w:t>
            </w:r>
          </w:p>
        </w:tc>
        <w:tc>
          <w:tcPr>
            <w:tcW w:w="0" w:type="auto"/>
            <w:tcBorders>
              <w:top w:val="outset" w:color="auto" w:sz="6" w:space="0"/>
              <w:left w:val="nil"/>
              <w:bottom w:val="outset" w:color="auto" w:sz="6" w:space="0"/>
              <w:right w:val="outset" w:color="auto" w:sz="6" w:space="0"/>
            </w:tcBorders>
            <w:vAlign w:val="center"/>
          </w:tcPr>
          <w:p w14:paraId="3CC6AD58">
            <w:pPr>
              <w:autoSpaceDE w:val="0"/>
              <w:spacing w:after="0" w:line="276" w:lineRule="auto"/>
              <w:jc w:val="both"/>
              <w:outlineLvl w:val="0"/>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Pr>
              <w:t xml:space="preserve">Референсті аралық </w:t>
            </w:r>
          </w:p>
        </w:tc>
        <w:tc>
          <w:tcPr>
            <w:tcW w:w="0" w:type="auto"/>
            <w:tcBorders>
              <w:top w:val="outset" w:color="auto" w:sz="6" w:space="0"/>
              <w:left w:val="nil"/>
              <w:bottom w:val="outset" w:color="auto" w:sz="6" w:space="0"/>
              <w:right w:val="outset" w:color="auto" w:sz="6" w:space="0"/>
            </w:tcBorders>
            <w:vAlign w:val="center"/>
          </w:tcPr>
          <w:p w14:paraId="2CF4ED60">
            <w:pPr>
              <w:autoSpaceDE w:val="0"/>
              <w:spacing w:after="0" w:line="276" w:lineRule="auto"/>
              <w:jc w:val="both"/>
              <w:outlineLvl w:val="0"/>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Pr>
              <w:t>ТТА кезіндегі көрсеткіштері</w:t>
            </w:r>
          </w:p>
        </w:tc>
      </w:tr>
      <w:tr w14:paraId="337AC9AD">
        <w:tblPrEx>
          <w:tblCellMar>
            <w:top w:w="15" w:type="dxa"/>
            <w:left w:w="15" w:type="dxa"/>
            <w:bottom w:w="15" w:type="dxa"/>
            <w:right w:w="15" w:type="dxa"/>
          </w:tblCellMar>
        </w:tblPrEx>
        <w:tc>
          <w:tcPr>
            <w:tcW w:w="0" w:type="auto"/>
            <w:tcBorders>
              <w:top w:val="outset" w:color="auto" w:sz="6" w:space="0"/>
              <w:left w:val="outset" w:color="auto" w:sz="6" w:space="0"/>
              <w:bottom w:val="outset" w:color="auto" w:sz="6" w:space="0"/>
              <w:right w:val="outset" w:color="auto" w:sz="6" w:space="0"/>
            </w:tcBorders>
            <w:vAlign w:val="center"/>
          </w:tcPr>
          <w:p w14:paraId="6DC6C6FB">
            <w:pPr>
              <w:autoSpaceDE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1</w:t>
            </w:r>
          </w:p>
        </w:tc>
        <w:tc>
          <w:tcPr>
            <w:tcW w:w="0" w:type="auto"/>
            <w:tcBorders>
              <w:top w:val="outset" w:color="auto" w:sz="6" w:space="0"/>
              <w:left w:val="nil"/>
              <w:bottom w:val="outset" w:color="auto" w:sz="6" w:space="0"/>
              <w:right w:val="outset" w:color="auto" w:sz="6" w:space="0"/>
            </w:tcBorders>
            <w:vAlign w:val="center"/>
          </w:tcPr>
          <w:p w14:paraId="7DCC8E3B">
            <w:pPr>
              <w:autoSpaceDE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Эритроциттердің </w:t>
            </w:r>
          </w:p>
          <w:p w14:paraId="2B7961CC">
            <w:pPr>
              <w:autoSpaceDE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морфологиялық өзгерістері</w:t>
            </w:r>
          </w:p>
        </w:tc>
        <w:tc>
          <w:tcPr>
            <w:tcW w:w="0" w:type="auto"/>
            <w:tcBorders>
              <w:top w:val="outset" w:color="auto" w:sz="6" w:space="0"/>
              <w:left w:val="nil"/>
              <w:bottom w:val="outset" w:color="auto" w:sz="6" w:space="0"/>
              <w:right w:val="outset" w:color="auto" w:sz="6" w:space="0"/>
            </w:tcBorders>
            <w:vAlign w:val="center"/>
          </w:tcPr>
          <w:p w14:paraId="6AA9AC65">
            <w:pPr>
              <w:autoSpaceDE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нормоциттер – 68% микроциттер – 15,2% макроциттер – 16,8%</w:t>
            </w:r>
          </w:p>
        </w:tc>
        <w:tc>
          <w:tcPr>
            <w:tcW w:w="0" w:type="auto"/>
            <w:tcBorders>
              <w:top w:val="outset" w:color="auto" w:sz="6" w:space="0"/>
              <w:left w:val="nil"/>
              <w:bottom w:val="outset" w:color="auto" w:sz="6" w:space="0"/>
              <w:right w:val="outset" w:color="auto" w:sz="6" w:space="0"/>
            </w:tcBorders>
            <w:vAlign w:val="center"/>
          </w:tcPr>
          <w:p w14:paraId="0A477E01">
            <w:pPr>
              <w:autoSpaceDE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микроцитоз, анизоцитозом</w:t>
            </w:r>
          </w:p>
          <w:p w14:paraId="73B9A1A2">
            <w:pPr>
              <w:autoSpaceDE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пойкилоцитоз</w:t>
            </w:r>
          </w:p>
        </w:tc>
      </w:tr>
      <w:tr w14:paraId="40B906B0">
        <w:tblPrEx>
          <w:tblCellMar>
            <w:top w:w="15" w:type="dxa"/>
            <w:left w:w="15" w:type="dxa"/>
            <w:bottom w:w="15" w:type="dxa"/>
            <w:right w:w="15" w:type="dxa"/>
          </w:tblCellMar>
        </w:tblPrEx>
        <w:tc>
          <w:tcPr>
            <w:tcW w:w="0" w:type="auto"/>
            <w:tcBorders>
              <w:top w:val="outset" w:color="auto" w:sz="6" w:space="0"/>
              <w:left w:val="outset" w:color="auto" w:sz="6" w:space="0"/>
              <w:bottom w:val="outset" w:color="auto" w:sz="6" w:space="0"/>
              <w:right w:val="outset" w:color="auto" w:sz="6" w:space="0"/>
            </w:tcBorders>
            <w:vAlign w:val="center"/>
          </w:tcPr>
          <w:p w14:paraId="0897B536">
            <w:pPr>
              <w:autoSpaceDE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2</w:t>
            </w:r>
          </w:p>
        </w:tc>
        <w:tc>
          <w:tcPr>
            <w:tcW w:w="0" w:type="auto"/>
            <w:tcBorders>
              <w:top w:val="outset" w:color="auto" w:sz="6" w:space="0"/>
              <w:left w:val="nil"/>
              <w:bottom w:val="outset" w:color="auto" w:sz="6" w:space="0"/>
              <w:right w:val="outset" w:color="auto" w:sz="6" w:space="0"/>
            </w:tcBorders>
            <w:vAlign w:val="center"/>
          </w:tcPr>
          <w:p w14:paraId="3F0F9768">
            <w:pPr>
              <w:autoSpaceDE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Түстік көрсеткіш</w:t>
            </w:r>
          </w:p>
        </w:tc>
        <w:tc>
          <w:tcPr>
            <w:tcW w:w="0" w:type="auto"/>
            <w:tcBorders>
              <w:top w:val="outset" w:color="auto" w:sz="6" w:space="0"/>
              <w:left w:val="nil"/>
              <w:bottom w:val="outset" w:color="auto" w:sz="6" w:space="0"/>
              <w:right w:val="outset" w:color="auto" w:sz="6" w:space="0"/>
            </w:tcBorders>
            <w:vAlign w:val="center"/>
          </w:tcPr>
          <w:p w14:paraId="543052DD">
            <w:pPr>
              <w:autoSpaceDE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0,86 –1,05</w:t>
            </w:r>
          </w:p>
        </w:tc>
        <w:tc>
          <w:tcPr>
            <w:tcW w:w="0" w:type="auto"/>
            <w:tcBorders>
              <w:top w:val="outset" w:color="auto" w:sz="6" w:space="0"/>
              <w:left w:val="nil"/>
              <w:bottom w:val="outset" w:color="auto" w:sz="6" w:space="0"/>
              <w:right w:val="outset" w:color="auto" w:sz="6" w:space="0"/>
            </w:tcBorders>
            <w:vAlign w:val="center"/>
          </w:tcPr>
          <w:p w14:paraId="5CE7B935">
            <w:pPr>
              <w:autoSpaceDE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Гипохромия  0,86 төмен болса</w:t>
            </w:r>
          </w:p>
        </w:tc>
      </w:tr>
      <w:tr w14:paraId="3029AB11">
        <w:tblPrEx>
          <w:tblCellMar>
            <w:top w:w="15" w:type="dxa"/>
            <w:left w:w="15" w:type="dxa"/>
            <w:bottom w:w="15" w:type="dxa"/>
            <w:right w:w="15" w:type="dxa"/>
          </w:tblCellMar>
        </w:tblPrEx>
        <w:tc>
          <w:tcPr>
            <w:tcW w:w="0" w:type="auto"/>
            <w:tcBorders>
              <w:top w:val="outset" w:color="auto" w:sz="6" w:space="0"/>
              <w:left w:val="outset" w:color="auto" w:sz="6" w:space="0"/>
              <w:bottom w:val="outset" w:color="auto" w:sz="6" w:space="0"/>
              <w:right w:val="outset" w:color="auto" w:sz="6" w:space="0"/>
            </w:tcBorders>
            <w:vAlign w:val="center"/>
          </w:tcPr>
          <w:p w14:paraId="15425F03">
            <w:pPr>
              <w:autoSpaceDE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3</w:t>
            </w:r>
          </w:p>
        </w:tc>
        <w:tc>
          <w:tcPr>
            <w:tcW w:w="0" w:type="auto"/>
            <w:tcBorders>
              <w:top w:val="outset" w:color="auto" w:sz="6" w:space="0"/>
              <w:left w:val="nil"/>
              <w:bottom w:val="outset" w:color="auto" w:sz="6" w:space="0"/>
              <w:right w:val="outset" w:color="auto" w:sz="6" w:space="0"/>
            </w:tcBorders>
            <w:vAlign w:val="center"/>
          </w:tcPr>
          <w:p w14:paraId="2E43BE19">
            <w:pPr>
              <w:autoSpaceDE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Гемоглобин</w:t>
            </w:r>
          </w:p>
        </w:tc>
        <w:tc>
          <w:tcPr>
            <w:tcW w:w="0" w:type="auto"/>
            <w:tcBorders>
              <w:top w:val="outset" w:color="auto" w:sz="6" w:space="0"/>
              <w:left w:val="nil"/>
              <w:bottom w:val="outset" w:color="auto" w:sz="6" w:space="0"/>
              <w:right w:val="outset" w:color="auto" w:sz="6" w:space="0"/>
            </w:tcBorders>
            <w:vAlign w:val="center"/>
          </w:tcPr>
          <w:p w14:paraId="77E08DE9">
            <w:pPr>
              <w:autoSpaceDE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Hb&gt;110 г/л  бірінші триместрде</w:t>
            </w:r>
            <w:r>
              <w:rPr>
                <w:rFonts w:ascii="Times New Roman" w:hAnsi="Times New Roman" w:eastAsia="Times New Roman" w:cs="Times New Roman"/>
                <w:sz w:val="28"/>
                <w:szCs w:val="28"/>
              </w:rPr>
              <w:br w:type="textWrapping"/>
            </w:r>
            <w:r>
              <w:rPr>
                <w:rFonts w:ascii="Times New Roman" w:hAnsi="Times New Roman" w:eastAsia="Times New Roman" w:cs="Times New Roman"/>
                <w:sz w:val="28"/>
                <w:szCs w:val="28"/>
              </w:rPr>
              <w:t>Hb &gt;105 г/л  екінші триместрде</w:t>
            </w:r>
          </w:p>
        </w:tc>
        <w:tc>
          <w:tcPr>
            <w:tcW w:w="0" w:type="auto"/>
            <w:tcBorders>
              <w:top w:val="outset" w:color="auto" w:sz="6" w:space="0"/>
              <w:left w:val="nil"/>
              <w:bottom w:val="outset" w:color="auto" w:sz="6" w:space="0"/>
              <w:right w:val="outset" w:color="auto" w:sz="6" w:space="0"/>
            </w:tcBorders>
            <w:vAlign w:val="center"/>
          </w:tcPr>
          <w:p w14:paraId="7CB112C3">
            <w:pPr>
              <w:autoSpaceDE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&lt;110 г/л  I және III триместрлерде</w:t>
            </w:r>
            <w:r>
              <w:rPr>
                <w:rFonts w:ascii="Times New Roman" w:hAnsi="Times New Roman" w:eastAsia="Times New Roman" w:cs="Times New Roman"/>
                <w:sz w:val="28"/>
                <w:szCs w:val="28"/>
              </w:rPr>
              <w:br w:type="textWrapping"/>
            </w:r>
            <w:r>
              <w:rPr>
                <w:rFonts w:ascii="Times New Roman" w:hAnsi="Times New Roman" w:eastAsia="Times New Roman" w:cs="Times New Roman"/>
                <w:sz w:val="28"/>
                <w:szCs w:val="28"/>
              </w:rPr>
              <w:t>&lt;105 г/л II триместрде</w:t>
            </w:r>
          </w:p>
        </w:tc>
      </w:tr>
      <w:tr w14:paraId="0288CF80">
        <w:tblPrEx>
          <w:tblCellMar>
            <w:top w:w="15" w:type="dxa"/>
            <w:left w:w="15" w:type="dxa"/>
            <w:bottom w:w="15" w:type="dxa"/>
            <w:right w:w="15" w:type="dxa"/>
          </w:tblCellMar>
        </w:tblPrEx>
        <w:tc>
          <w:tcPr>
            <w:tcW w:w="0" w:type="auto"/>
            <w:tcBorders>
              <w:top w:val="outset" w:color="auto" w:sz="6" w:space="0"/>
              <w:left w:val="outset" w:color="auto" w:sz="6" w:space="0"/>
              <w:bottom w:val="outset" w:color="auto" w:sz="6" w:space="0"/>
              <w:right w:val="outset" w:color="auto" w:sz="6" w:space="0"/>
            </w:tcBorders>
            <w:vAlign w:val="center"/>
          </w:tcPr>
          <w:p w14:paraId="49947820">
            <w:pPr>
              <w:autoSpaceDE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4</w:t>
            </w:r>
          </w:p>
        </w:tc>
        <w:tc>
          <w:tcPr>
            <w:tcW w:w="0" w:type="auto"/>
            <w:tcBorders>
              <w:top w:val="outset" w:color="auto" w:sz="6" w:space="0"/>
              <w:left w:val="nil"/>
              <w:bottom w:val="outset" w:color="auto" w:sz="6" w:space="0"/>
              <w:right w:val="outset" w:color="auto" w:sz="6" w:space="0"/>
            </w:tcBorders>
            <w:vAlign w:val="center"/>
          </w:tcPr>
          <w:p w14:paraId="5FD1525E">
            <w:pPr>
              <w:autoSpaceDE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МСН</w:t>
            </w:r>
          </w:p>
        </w:tc>
        <w:tc>
          <w:tcPr>
            <w:tcW w:w="0" w:type="auto"/>
            <w:tcBorders>
              <w:top w:val="outset" w:color="auto" w:sz="6" w:space="0"/>
              <w:left w:val="nil"/>
              <w:bottom w:val="outset" w:color="auto" w:sz="6" w:space="0"/>
              <w:right w:val="outset" w:color="auto" w:sz="6" w:space="0"/>
            </w:tcBorders>
            <w:vAlign w:val="center"/>
          </w:tcPr>
          <w:p w14:paraId="7C51CBD1">
            <w:pPr>
              <w:autoSpaceDE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27–31 пг</w:t>
            </w:r>
          </w:p>
        </w:tc>
        <w:tc>
          <w:tcPr>
            <w:tcW w:w="0" w:type="auto"/>
            <w:tcBorders>
              <w:top w:val="outset" w:color="auto" w:sz="6" w:space="0"/>
              <w:left w:val="nil"/>
              <w:bottom w:val="outset" w:color="auto" w:sz="6" w:space="0"/>
              <w:right w:val="outset" w:color="auto" w:sz="6" w:space="0"/>
            </w:tcBorders>
            <w:vAlign w:val="center"/>
          </w:tcPr>
          <w:p w14:paraId="690511CD">
            <w:pPr>
              <w:autoSpaceDE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27 пг төмен</w:t>
            </w:r>
          </w:p>
        </w:tc>
      </w:tr>
      <w:tr w14:paraId="4F8D4271">
        <w:tblPrEx>
          <w:tblCellMar>
            <w:top w:w="15" w:type="dxa"/>
            <w:left w:w="15" w:type="dxa"/>
            <w:bottom w:w="15" w:type="dxa"/>
            <w:right w:w="15" w:type="dxa"/>
          </w:tblCellMar>
        </w:tblPrEx>
        <w:tc>
          <w:tcPr>
            <w:tcW w:w="0" w:type="auto"/>
            <w:tcBorders>
              <w:top w:val="outset" w:color="auto" w:sz="6" w:space="0"/>
              <w:left w:val="outset" w:color="auto" w:sz="6" w:space="0"/>
              <w:bottom w:val="outset" w:color="auto" w:sz="6" w:space="0"/>
              <w:right w:val="outset" w:color="auto" w:sz="6" w:space="0"/>
            </w:tcBorders>
            <w:vAlign w:val="center"/>
          </w:tcPr>
          <w:p w14:paraId="558D15CD">
            <w:pPr>
              <w:autoSpaceDE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5</w:t>
            </w:r>
          </w:p>
        </w:tc>
        <w:tc>
          <w:tcPr>
            <w:tcW w:w="0" w:type="auto"/>
            <w:tcBorders>
              <w:top w:val="outset" w:color="auto" w:sz="6" w:space="0"/>
              <w:left w:val="nil"/>
              <w:bottom w:val="outset" w:color="auto" w:sz="6" w:space="0"/>
              <w:right w:val="outset" w:color="auto" w:sz="6" w:space="0"/>
            </w:tcBorders>
            <w:vAlign w:val="center"/>
          </w:tcPr>
          <w:p w14:paraId="208A2B13">
            <w:pPr>
              <w:autoSpaceDE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МСНС</w:t>
            </w:r>
          </w:p>
        </w:tc>
        <w:tc>
          <w:tcPr>
            <w:tcW w:w="0" w:type="auto"/>
            <w:tcBorders>
              <w:top w:val="outset" w:color="auto" w:sz="6" w:space="0"/>
              <w:left w:val="nil"/>
              <w:bottom w:val="outset" w:color="auto" w:sz="6" w:space="0"/>
              <w:right w:val="outset" w:color="auto" w:sz="6" w:space="0"/>
            </w:tcBorders>
            <w:vAlign w:val="center"/>
          </w:tcPr>
          <w:p w14:paraId="6FA33AF6">
            <w:pPr>
              <w:autoSpaceDE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33–37%</w:t>
            </w:r>
          </w:p>
        </w:tc>
        <w:tc>
          <w:tcPr>
            <w:tcW w:w="0" w:type="auto"/>
            <w:tcBorders>
              <w:top w:val="outset" w:color="auto" w:sz="6" w:space="0"/>
              <w:left w:val="nil"/>
              <w:bottom w:val="outset" w:color="auto" w:sz="6" w:space="0"/>
              <w:right w:val="outset" w:color="auto" w:sz="6" w:space="0"/>
            </w:tcBorders>
            <w:vAlign w:val="center"/>
          </w:tcPr>
          <w:p w14:paraId="6419DF02">
            <w:pPr>
              <w:autoSpaceDE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 33% төмен</w:t>
            </w:r>
          </w:p>
        </w:tc>
      </w:tr>
      <w:tr w14:paraId="12051B14">
        <w:tblPrEx>
          <w:tblCellMar>
            <w:top w:w="15" w:type="dxa"/>
            <w:left w:w="15" w:type="dxa"/>
            <w:bottom w:w="15" w:type="dxa"/>
            <w:right w:w="15" w:type="dxa"/>
          </w:tblCellMar>
        </w:tblPrEx>
        <w:tc>
          <w:tcPr>
            <w:tcW w:w="0" w:type="auto"/>
            <w:tcBorders>
              <w:top w:val="outset" w:color="auto" w:sz="6" w:space="0"/>
              <w:left w:val="outset" w:color="auto" w:sz="6" w:space="0"/>
              <w:bottom w:val="outset" w:color="auto" w:sz="6" w:space="0"/>
              <w:right w:val="outset" w:color="auto" w:sz="6" w:space="0"/>
            </w:tcBorders>
            <w:vAlign w:val="center"/>
          </w:tcPr>
          <w:p w14:paraId="793AC669">
            <w:pPr>
              <w:autoSpaceDE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6</w:t>
            </w:r>
          </w:p>
        </w:tc>
        <w:tc>
          <w:tcPr>
            <w:tcW w:w="0" w:type="auto"/>
            <w:tcBorders>
              <w:top w:val="outset" w:color="auto" w:sz="6" w:space="0"/>
              <w:left w:val="nil"/>
              <w:bottom w:val="outset" w:color="auto" w:sz="6" w:space="0"/>
              <w:right w:val="outset" w:color="auto" w:sz="6" w:space="0"/>
            </w:tcBorders>
            <w:vAlign w:val="center"/>
          </w:tcPr>
          <w:p w14:paraId="5EDA906C">
            <w:pPr>
              <w:autoSpaceDE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МСV</w:t>
            </w:r>
          </w:p>
        </w:tc>
        <w:tc>
          <w:tcPr>
            <w:tcW w:w="0" w:type="auto"/>
            <w:tcBorders>
              <w:top w:val="outset" w:color="auto" w:sz="6" w:space="0"/>
              <w:left w:val="nil"/>
              <w:bottom w:val="outset" w:color="auto" w:sz="6" w:space="0"/>
              <w:right w:val="outset" w:color="auto" w:sz="6" w:space="0"/>
            </w:tcBorders>
            <w:vAlign w:val="center"/>
          </w:tcPr>
          <w:p w14:paraId="01E356D4">
            <w:pPr>
              <w:autoSpaceDE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80–100 фл</w:t>
            </w:r>
          </w:p>
        </w:tc>
        <w:tc>
          <w:tcPr>
            <w:tcW w:w="0" w:type="auto"/>
            <w:tcBorders>
              <w:top w:val="outset" w:color="auto" w:sz="6" w:space="0"/>
              <w:left w:val="nil"/>
              <w:bottom w:val="outset" w:color="auto" w:sz="6" w:space="0"/>
              <w:right w:val="outset" w:color="auto" w:sz="6" w:space="0"/>
            </w:tcBorders>
            <w:vAlign w:val="center"/>
          </w:tcPr>
          <w:p w14:paraId="0986C375">
            <w:pPr>
              <w:autoSpaceDE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төмен</w:t>
            </w:r>
          </w:p>
        </w:tc>
      </w:tr>
      <w:tr w14:paraId="0C57FF9B">
        <w:tblPrEx>
          <w:tblCellMar>
            <w:top w:w="15" w:type="dxa"/>
            <w:left w:w="15" w:type="dxa"/>
            <w:bottom w:w="15" w:type="dxa"/>
            <w:right w:w="15" w:type="dxa"/>
          </w:tblCellMar>
        </w:tblPrEx>
        <w:tc>
          <w:tcPr>
            <w:tcW w:w="0" w:type="auto"/>
            <w:tcBorders>
              <w:top w:val="outset" w:color="auto" w:sz="6" w:space="0"/>
              <w:left w:val="outset" w:color="auto" w:sz="6" w:space="0"/>
              <w:bottom w:val="outset" w:color="auto" w:sz="6" w:space="0"/>
              <w:right w:val="outset" w:color="auto" w:sz="6" w:space="0"/>
            </w:tcBorders>
            <w:vAlign w:val="center"/>
          </w:tcPr>
          <w:p w14:paraId="68EC81E1">
            <w:pPr>
              <w:autoSpaceDE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9</w:t>
            </w:r>
          </w:p>
        </w:tc>
        <w:tc>
          <w:tcPr>
            <w:tcW w:w="0" w:type="auto"/>
            <w:tcBorders>
              <w:top w:val="outset" w:color="auto" w:sz="6" w:space="0"/>
              <w:left w:val="nil"/>
              <w:bottom w:val="outset" w:color="auto" w:sz="6" w:space="0"/>
              <w:right w:val="outset" w:color="auto" w:sz="6" w:space="0"/>
            </w:tcBorders>
            <w:vAlign w:val="center"/>
          </w:tcPr>
          <w:p w14:paraId="543F8B76">
            <w:pPr>
              <w:autoSpaceDE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Ретикулоциттер саны</w:t>
            </w:r>
          </w:p>
        </w:tc>
        <w:tc>
          <w:tcPr>
            <w:tcW w:w="0" w:type="auto"/>
            <w:tcBorders>
              <w:top w:val="outset" w:color="auto" w:sz="6" w:space="0"/>
              <w:left w:val="nil"/>
              <w:bottom w:val="outset" w:color="auto" w:sz="6" w:space="0"/>
              <w:right w:val="outset" w:color="auto" w:sz="6" w:space="0"/>
            </w:tcBorders>
            <w:vAlign w:val="center"/>
          </w:tcPr>
          <w:p w14:paraId="24D6139F">
            <w:pPr>
              <w:autoSpaceDE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2–10:1000</w:t>
            </w:r>
          </w:p>
        </w:tc>
        <w:tc>
          <w:tcPr>
            <w:tcW w:w="0" w:type="auto"/>
            <w:tcBorders>
              <w:top w:val="outset" w:color="auto" w:sz="6" w:space="0"/>
              <w:left w:val="nil"/>
              <w:bottom w:val="outset" w:color="auto" w:sz="6" w:space="0"/>
              <w:right w:val="outset" w:color="auto" w:sz="6" w:space="0"/>
            </w:tcBorders>
            <w:vAlign w:val="center"/>
          </w:tcPr>
          <w:p w14:paraId="43BB87DD">
            <w:pPr>
              <w:autoSpaceDE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өзгеріссіз</w:t>
            </w:r>
          </w:p>
        </w:tc>
      </w:tr>
      <w:tr w14:paraId="69C60F1C">
        <w:tblPrEx>
          <w:tblCellMar>
            <w:top w:w="15" w:type="dxa"/>
            <w:left w:w="15" w:type="dxa"/>
            <w:bottom w:w="15" w:type="dxa"/>
            <w:right w:w="15" w:type="dxa"/>
          </w:tblCellMar>
        </w:tblPrEx>
        <w:tc>
          <w:tcPr>
            <w:tcW w:w="0" w:type="auto"/>
            <w:tcBorders>
              <w:top w:val="outset" w:color="auto" w:sz="6" w:space="0"/>
              <w:left w:val="outset" w:color="auto" w:sz="6" w:space="0"/>
              <w:bottom w:val="outset" w:color="auto" w:sz="6" w:space="0"/>
              <w:right w:val="outset" w:color="auto" w:sz="6" w:space="0"/>
            </w:tcBorders>
            <w:vAlign w:val="center"/>
          </w:tcPr>
          <w:p w14:paraId="26F59A61">
            <w:pPr>
              <w:autoSpaceDE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11</w:t>
            </w:r>
          </w:p>
        </w:tc>
        <w:tc>
          <w:tcPr>
            <w:tcW w:w="0" w:type="auto"/>
            <w:tcBorders>
              <w:top w:val="outset" w:color="auto" w:sz="6" w:space="0"/>
              <w:left w:val="nil"/>
              <w:bottom w:val="outset" w:color="auto" w:sz="6" w:space="0"/>
              <w:right w:val="outset" w:color="auto" w:sz="6" w:space="0"/>
            </w:tcBorders>
            <w:vAlign w:val="center"/>
          </w:tcPr>
          <w:p w14:paraId="37303023">
            <w:pPr>
              <w:autoSpaceDE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Сарысу темірі</w:t>
            </w:r>
          </w:p>
        </w:tc>
        <w:tc>
          <w:tcPr>
            <w:tcW w:w="0" w:type="auto"/>
            <w:tcBorders>
              <w:top w:val="outset" w:color="auto" w:sz="6" w:space="0"/>
              <w:left w:val="nil"/>
              <w:bottom w:val="outset" w:color="auto" w:sz="6" w:space="0"/>
              <w:right w:val="outset" w:color="auto" w:sz="6" w:space="0"/>
            </w:tcBorders>
            <w:vAlign w:val="center"/>
          </w:tcPr>
          <w:p w14:paraId="4EB391B2">
            <w:pPr>
              <w:autoSpaceDE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әйелдер – 12–25 мкмль/л </w:t>
            </w:r>
          </w:p>
          <w:p w14:paraId="59E9317B">
            <w:pPr>
              <w:autoSpaceDE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ерлер –13–30 мкмоль/л</w:t>
            </w:r>
          </w:p>
        </w:tc>
        <w:tc>
          <w:tcPr>
            <w:tcW w:w="0" w:type="auto"/>
            <w:tcBorders>
              <w:top w:val="outset" w:color="auto" w:sz="6" w:space="0"/>
              <w:left w:val="nil"/>
              <w:bottom w:val="outset" w:color="auto" w:sz="6" w:space="0"/>
              <w:right w:val="outset" w:color="auto" w:sz="6" w:space="0"/>
            </w:tcBorders>
            <w:vAlign w:val="center"/>
          </w:tcPr>
          <w:p w14:paraId="621C1106">
            <w:pPr>
              <w:autoSpaceDE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төмендеген</w:t>
            </w:r>
          </w:p>
        </w:tc>
      </w:tr>
      <w:tr w14:paraId="2FD1D903">
        <w:tblPrEx>
          <w:tblCellMar>
            <w:top w:w="15" w:type="dxa"/>
            <w:left w:w="15" w:type="dxa"/>
            <w:bottom w:w="15" w:type="dxa"/>
            <w:right w:w="15" w:type="dxa"/>
          </w:tblCellMar>
        </w:tblPrEx>
        <w:tc>
          <w:tcPr>
            <w:tcW w:w="0" w:type="auto"/>
            <w:tcBorders>
              <w:top w:val="outset" w:color="auto" w:sz="6" w:space="0"/>
              <w:left w:val="outset" w:color="auto" w:sz="6" w:space="0"/>
              <w:bottom w:val="outset" w:color="auto" w:sz="6" w:space="0"/>
              <w:right w:val="outset" w:color="auto" w:sz="6" w:space="0"/>
            </w:tcBorders>
            <w:vAlign w:val="center"/>
          </w:tcPr>
          <w:p w14:paraId="6E3E8FA4">
            <w:pPr>
              <w:autoSpaceDE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12</w:t>
            </w:r>
          </w:p>
        </w:tc>
        <w:tc>
          <w:tcPr>
            <w:tcW w:w="0" w:type="auto"/>
            <w:tcBorders>
              <w:top w:val="outset" w:color="auto" w:sz="6" w:space="0"/>
              <w:left w:val="nil"/>
              <w:bottom w:val="outset" w:color="auto" w:sz="6" w:space="0"/>
              <w:right w:val="outset" w:color="auto" w:sz="6" w:space="0"/>
            </w:tcBorders>
            <w:vAlign w:val="center"/>
          </w:tcPr>
          <w:p w14:paraId="71198B0C">
            <w:pPr>
              <w:autoSpaceDE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Қан сарысулық жалпы темір байланыстырушы қабілеттілігі</w:t>
            </w:r>
          </w:p>
        </w:tc>
        <w:tc>
          <w:tcPr>
            <w:tcW w:w="0" w:type="auto"/>
            <w:tcBorders>
              <w:top w:val="outset" w:color="auto" w:sz="6" w:space="0"/>
              <w:left w:val="nil"/>
              <w:bottom w:val="outset" w:color="auto" w:sz="6" w:space="0"/>
              <w:right w:val="outset" w:color="auto" w:sz="6" w:space="0"/>
            </w:tcBorders>
            <w:vAlign w:val="center"/>
          </w:tcPr>
          <w:p w14:paraId="7BF850F4">
            <w:pPr>
              <w:autoSpaceDE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30–85 мкмоль/л</w:t>
            </w:r>
          </w:p>
        </w:tc>
        <w:tc>
          <w:tcPr>
            <w:tcW w:w="0" w:type="auto"/>
            <w:tcBorders>
              <w:top w:val="outset" w:color="auto" w:sz="6" w:space="0"/>
              <w:left w:val="nil"/>
              <w:bottom w:val="outset" w:color="auto" w:sz="6" w:space="0"/>
              <w:right w:val="outset" w:color="auto" w:sz="6" w:space="0"/>
            </w:tcBorders>
            <w:vAlign w:val="center"/>
          </w:tcPr>
          <w:p w14:paraId="00469BC1">
            <w:pPr>
              <w:autoSpaceDE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жоғарылыған</w:t>
            </w:r>
          </w:p>
        </w:tc>
      </w:tr>
      <w:tr w14:paraId="55BF9CAC">
        <w:tblPrEx>
          <w:tblCellMar>
            <w:top w:w="15" w:type="dxa"/>
            <w:left w:w="15" w:type="dxa"/>
            <w:bottom w:w="15" w:type="dxa"/>
            <w:right w:w="15" w:type="dxa"/>
          </w:tblCellMar>
        </w:tblPrEx>
        <w:tc>
          <w:tcPr>
            <w:tcW w:w="0" w:type="auto"/>
            <w:tcBorders>
              <w:top w:val="outset" w:color="auto" w:sz="6" w:space="0"/>
              <w:left w:val="outset" w:color="auto" w:sz="6" w:space="0"/>
              <w:bottom w:val="outset" w:color="auto" w:sz="6" w:space="0"/>
              <w:right w:val="outset" w:color="auto" w:sz="6" w:space="0"/>
            </w:tcBorders>
            <w:vAlign w:val="center"/>
          </w:tcPr>
          <w:p w14:paraId="207F0DC7">
            <w:pPr>
              <w:autoSpaceDE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13</w:t>
            </w:r>
          </w:p>
        </w:tc>
        <w:tc>
          <w:tcPr>
            <w:tcW w:w="0" w:type="auto"/>
            <w:tcBorders>
              <w:top w:val="outset" w:color="auto" w:sz="6" w:space="0"/>
              <w:left w:val="nil"/>
              <w:bottom w:val="outset" w:color="auto" w:sz="6" w:space="0"/>
              <w:right w:val="outset" w:color="auto" w:sz="6" w:space="0"/>
            </w:tcBorders>
            <w:vAlign w:val="center"/>
          </w:tcPr>
          <w:p w14:paraId="45404A4F">
            <w:pPr>
              <w:autoSpaceDE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Сарысулық латетті темірбайланыстырушылық қабілеттілігі</w:t>
            </w:r>
          </w:p>
        </w:tc>
        <w:tc>
          <w:tcPr>
            <w:tcW w:w="0" w:type="auto"/>
            <w:tcBorders>
              <w:top w:val="outset" w:color="auto" w:sz="6" w:space="0"/>
              <w:left w:val="nil"/>
              <w:bottom w:val="outset" w:color="auto" w:sz="6" w:space="0"/>
              <w:right w:val="outset" w:color="auto" w:sz="6" w:space="0"/>
            </w:tcBorders>
            <w:vAlign w:val="center"/>
          </w:tcPr>
          <w:p w14:paraId="4E6F8952">
            <w:pPr>
              <w:autoSpaceDE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47 мкмоль/л–ден төмен</w:t>
            </w:r>
          </w:p>
        </w:tc>
        <w:tc>
          <w:tcPr>
            <w:tcW w:w="0" w:type="auto"/>
            <w:tcBorders>
              <w:top w:val="outset" w:color="auto" w:sz="6" w:space="0"/>
              <w:left w:val="nil"/>
              <w:bottom w:val="outset" w:color="auto" w:sz="6" w:space="0"/>
              <w:right w:val="outset" w:color="auto" w:sz="6" w:space="0"/>
            </w:tcBorders>
            <w:vAlign w:val="center"/>
          </w:tcPr>
          <w:p w14:paraId="27F3F9B7">
            <w:pPr>
              <w:autoSpaceDE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 47 мкмоль/л–ден жоғары</w:t>
            </w:r>
          </w:p>
        </w:tc>
      </w:tr>
      <w:tr w14:paraId="05C7B330">
        <w:tblPrEx>
          <w:tblCellMar>
            <w:top w:w="15" w:type="dxa"/>
            <w:left w:w="15" w:type="dxa"/>
            <w:bottom w:w="15" w:type="dxa"/>
            <w:right w:w="15" w:type="dxa"/>
          </w:tblCellMar>
        </w:tblPrEx>
        <w:tc>
          <w:tcPr>
            <w:tcW w:w="0" w:type="auto"/>
            <w:tcBorders>
              <w:top w:val="outset" w:color="auto" w:sz="6" w:space="0"/>
              <w:left w:val="outset" w:color="auto" w:sz="6" w:space="0"/>
              <w:bottom w:val="outset" w:color="auto" w:sz="6" w:space="0"/>
              <w:right w:val="outset" w:color="auto" w:sz="6" w:space="0"/>
            </w:tcBorders>
            <w:vAlign w:val="center"/>
          </w:tcPr>
          <w:p w14:paraId="32EA5F5B">
            <w:pPr>
              <w:autoSpaceDE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14</w:t>
            </w:r>
          </w:p>
        </w:tc>
        <w:tc>
          <w:tcPr>
            <w:tcW w:w="0" w:type="auto"/>
            <w:tcBorders>
              <w:top w:val="outset" w:color="auto" w:sz="6" w:space="0"/>
              <w:left w:val="nil"/>
              <w:bottom w:val="outset" w:color="auto" w:sz="6" w:space="0"/>
              <w:right w:val="outset" w:color="auto" w:sz="6" w:space="0"/>
            </w:tcBorders>
            <w:vAlign w:val="center"/>
          </w:tcPr>
          <w:p w14:paraId="6458FCF9">
            <w:pPr>
              <w:autoSpaceDE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TSat</w:t>
            </w:r>
          </w:p>
        </w:tc>
        <w:tc>
          <w:tcPr>
            <w:tcW w:w="0" w:type="auto"/>
            <w:tcBorders>
              <w:top w:val="outset" w:color="auto" w:sz="6" w:space="0"/>
              <w:left w:val="nil"/>
              <w:bottom w:val="outset" w:color="auto" w:sz="6" w:space="0"/>
              <w:right w:val="outset" w:color="auto" w:sz="6" w:space="0"/>
            </w:tcBorders>
            <w:vAlign w:val="center"/>
          </w:tcPr>
          <w:p w14:paraId="44EDD145">
            <w:pPr>
              <w:autoSpaceDE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≥16%</w:t>
            </w:r>
          </w:p>
        </w:tc>
        <w:tc>
          <w:tcPr>
            <w:tcW w:w="0" w:type="auto"/>
            <w:tcBorders>
              <w:top w:val="outset" w:color="auto" w:sz="6" w:space="0"/>
              <w:left w:val="nil"/>
              <w:bottom w:val="outset" w:color="auto" w:sz="6" w:space="0"/>
              <w:right w:val="outset" w:color="auto" w:sz="6" w:space="0"/>
            </w:tcBorders>
            <w:vAlign w:val="center"/>
          </w:tcPr>
          <w:p w14:paraId="728224B9">
            <w:pPr>
              <w:autoSpaceDE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төмендеген</w:t>
            </w:r>
          </w:p>
        </w:tc>
      </w:tr>
      <w:tr w14:paraId="43607932">
        <w:tblPrEx>
          <w:tblCellMar>
            <w:top w:w="15" w:type="dxa"/>
            <w:left w:w="15" w:type="dxa"/>
            <w:bottom w:w="15" w:type="dxa"/>
            <w:right w:w="15" w:type="dxa"/>
          </w:tblCellMar>
        </w:tblPrEx>
        <w:tc>
          <w:tcPr>
            <w:tcW w:w="0" w:type="auto"/>
            <w:tcBorders>
              <w:top w:val="outset" w:color="auto" w:sz="6" w:space="0"/>
              <w:left w:val="outset" w:color="auto" w:sz="6" w:space="0"/>
              <w:bottom w:val="outset" w:color="auto" w:sz="6" w:space="0"/>
              <w:right w:val="outset" w:color="auto" w:sz="6" w:space="0"/>
            </w:tcBorders>
            <w:vAlign w:val="center"/>
          </w:tcPr>
          <w:p w14:paraId="5931F427">
            <w:pPr>
              <w:autoSpaceDE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15</w:t>
            </w:r>
          </w:p>
        </w:tc>
        <w:tc>
          <w:tcPr>
            <w:tcW w:w="0" w:type="auto"/>
            <w:tcBorders>
              <w:top w:val="outset" w:color="auto" w:sz="6" w:space="0"/>
              <w:left w:val="nil"/>
              <w:bottom w:val="outset" w:color="auto" w:sz="6" w:space="0"/>
              <w:right w:val="outset" w:color="auto" w:sz="6" w:space="0"/>
            </w:tcBorders>
            <w:vAlign w:val="center"/>
          </w:tcPr>
          <w:p w14:paraId="6C707374">
            <w:pPr>
              <w:autoSpaceDE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Ферритин</w:t>
            </w:r>
          </w:p>
        </w:tc>
        <w:tc>
          <w:tcPr>
            <w:tcW w:w="0" w:type="auto"/>
            <w:tcBorders>
              <w:top w:val="outset" w:color="auto" w:sz="6" w:space="0"/>
              <w:left w:val="nil"/>
              <w:bottom w:val="outset" w:color="auto" w:sz="6" w:space="0"/>
              <w:right w:val="outset" w:color="auto" w:sz="6" w:space="0"/>
            </w:tcBorders>
            <w:vAlign w:val="center"/>
          </w:tcPr>
          <w:p w14:paraId="310A0993">
            <w:pPr>
              <w:autoSpaceDE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15–150 мкг/л</w:t>
            </w:r>
          </w:p>
        </w:tc>
        <w:tc>
          <w:tcPr>
            <w:tcW w:w="0" w:type="auto"/>
            <w:tcBorders>
              <w:top w:val="outset" w:color="auto" w:sz="6" w:space="0"/>
              <w:left w:val="nil"/>
              <w:bottom w:val="outset" w:color="auto" w:sz="6" w:space="0"/>
              <w:right w:val="outset" w:color="auto" w:sz="6" w:space="0"/>
            </w:tcBorders>
            <w:vAlign w:val="center"/>
          </w:tcPr>
          <w:p w14:paraId="691E1D8C">
            <w:pPr>
              <w:autoSpaceDE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төмендеген</w:t>
            </w:r>
          </w:p>
        </w:tc>
      </w:tr>
    </w:tbl>
    <w:p w14:paraId="67165E3C">
      <w:pPr>
        <w:keepNext/>
        <w:keepLines/>
        <w:widowControl w:val="0"/>
        <w:autoSpaceDE w:val="0"/>
        <w:autoSpaceDN w:val="0"/>
        <w:spacing w:after="0" w:line="276" w:lineRule="auto"/>
        <w:ind w:firstLine="709"/>
        <w:jc w:val="both"/>
        <w:outlineLvl w:val="0"/>
        <w:rPr>
          <w:rFonts w:ascii="Times New Roman" w:hAnsi="Times New Roman" w:eastAsia="等线 Light" w:cs="Times New Roman"/>
          <w:b/>
          <w:color w:val="2E75B5"/>
          <w:sz w:val="28"/>
          <w:szCs w:val="28"/>
          <w:lang w:eastAsia="ru-RU"/>
        </w:rPr>
      </w:pPr>
      <w:r>
        <w:rPr>
          <w:rFonts w:ascii="Times New Roman" w:hAnsi="Times New Roman" w:eastAsia="等线 Light" w:cs="Times New Roman"/>
          <w:b/>
          <w:color w:val="2E75B5"/>
          <w:sz w:val="28"/>
          <w:szCs w:val="28"/>
          <w:lang w:eastAsia="ru-RU"/>
        </w:rPr>
        <w:t xml:space="preserve"> </w:t>
      </w:r>
    </w:p>
    <w:p w14:paraId="602A134A">
      <w:pPr>
        <w:keepNext/>
        <w:keepLines/>
        <w:widowControl w:val="0"/>
        <w:autoSpaceDE w:val="0"/>
        <w:autoSpaceDN w:val="0"/>
        <w:spacing w:after="0" w:line="276" w:lineRule="auto"/>
        <w:ind w:firstLine="709"/>
        <w:jc w:val="both"/>
        <w:outlineLvl w:val="0"/>
        <w:rPr>
          <w:rFonts w:ascii="Times New Roman" w:hAnsi="Times New Roman" w:eastAsia="等线 Light" w:cs="Times New Roman"/>
          <w:b/>
          <w:sz w:val="28"/>
          <w:szCs w:val="28"/>
          <w:lang w:eastAsia="ru-RU"/>
        </w:rPr>
      </w:pPr>
      <w:r>
        <w:rPr>
          <w:rFonts w:ascii="Times New Roman" w:hAnsi="Times New Roman" w:eastAsia="等线 Light" w:cs="Times New Roman"/>
          <w:b/>
          <w:sz w:val="28"/>
          <w:szCs w:val="28"/>
          <w:lang w:eastAsia="ru-RU"/>
        </w:rPr>
        <w:t xml:space="preserve"> 2.2 Зерттеуге қатысқан науқастардың жалпы сипаттамасы</w:t>
      </w:r>
    </w:p>
    <w:p w14:paraId="4932E283">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 </w:t>
      </w:r>
    </w:p>
    <w:p w14:paraId="40289342">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bookmarkStart w:id="3" w:name="_Hlk164600722"/>
      <w:bookmarkEnd w:id="3"/>
      <w:r>
        <w:rPr>
          <w:rFonts w:ascii="Times New Roman" w:hAnsi="Times New Roman" w:eastAsia="Times New Roman" w:cs="Times New Roman"/>
          <w:sz w:val="28"/>
          <w:szCs w:val="28"/>
          <w:lang w:eastAsia="ru-RU"/>
        </w:rPr>
        <w:t>Зерттеу жұмысына Қарағанды облыстық клиникалық ауруханасының Перинатальді орталығының қабылдау бөлімінде жүктілерден алынған клиникалық биоматериалдар мен олардың өмірлік және ауру тарихына қатысты деректер негізінде жүргізілді. Зерттеуге қатысуға этикалық рұқсат биоэтика комитеті арқылы алынып, зерттеу жұмыстары биоэтика ережелеріне сәйкес жүзеге асырылды. Барлық қатысушыларға зерттеу мақсаты, маңызы, мүмкін қауіптері мен артықшылықтары туралы ақпарат беріліп, зерттеуден бас тартуға құқылы екендігі түсіндірілді. Зерттеуге қатысуды қабылдамаған науқастарға ешқандай салдар болмайтыны атап көрсетілді. Зерттеуге қатысатын жүкті әйелдер арнайы жазбаша келісім беріп, құжатқа қол қойды (</w:t>
      </w:r>
      <w:r>
        <w:rPr>
          <w:rFonts w:ascii="Times New Roman" w:hAnsi="Times New Roman" w:eastAsia="Times New Roman" w:cs="Times New Roman"/>
          <w:bCs/>
          <w:sz w:val="28"/>
          <w:szCs w:val="28"/>
          <w:lang w:eastAsia="ru-RU"/>
        </w:rPr>
        <w:t>Қосымша Б</w:t>
      </w:r>
      <w:r>
        <w:rPr>
          <w:rFonts w:ascii="Times New Roman" w:hAnsi="Times New Roman" w:eastAsia="Times New Roman" w:cs="Times New Roman"/>
          <w:sz w:val="28"/>
          <w:szCs w:val="28"/>
          <w:lang w:eastAsia="ru-RU"/>
        </w:rPr>
        <w:t>). Зерттеуге қатысушылар зерттеудің қосу және шығару критерийлеріне сәйкес іріктелді.</w:t>
      </w:r>
    </w:p>
    <w:p w14:paraId="6FA61261">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Зерттеуге қатысушыларды қосу критерийлері:</w:t>
      </w:r>
    </w:p>
    <w:p w14:paraId="511C1769">
      <w:pPr>
        <w:widowControl w:val="0"/>
        <w:numPr>
          <w:ilvl w:val="0"/>
          <w:numId w:val="8"/>
        </w:numPr>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Жасы 18 жастан жоғары;</w:t>
      </w:r>
    </w:p>
    <w:p w14:paraId="3DBB00DE">
      <w:pPr>
        <w:widowControl w:val="0"/>
        <w:numPr>
          <w:ilvl w:val="0"/>
          <w:numId w:val="8"/>
        </w:numPr>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Жынысы – әйел;</w:t>
      </w:r>
    </w:p>
    <w:p w14:paraId="4A1D29CD">
      <w:pPr>
        <w:widowControl w:val="0"/>
        <w:numPr>
          <w:ilvl w:val="0"/>
          <w:numId w:val="8"/>
        </w:numPr>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Бірұрықтық жүктілік;</w:t>
      </w:r>
    </w:p>
    <w:p w14:paraId="5BD97F8D">
      <w:pPr>
        <w:widowControl w:val="0"/>
        <w:numPr>
          <w:ilvl w:val="0"/>
          <w:numId w:val="8"/>
        </w:numPr>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ДСИ 19,8–25 кг/м² немесе 30 кг/м² жоғары болуы;</w:t>
      </w:r>
    </w:p>
    <w:p w14:paraId="41FF3B82">
      <w:pPr>
        <w:widowControl w:val="0"/>
        <w:numPr>
          <w:ilvl w:val="0"/>
          <w:numId w:val="8"/>
        </w:numPr>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Жүктілік кезеңі: 22–аптадан босануға дейінгі мерзім;</w:t>
      </w:r>
    </w:p>
    <w:p w14:paraId="779ACAA8">
      <w:pPr>
        <w:widowControl w:val="0"/>
        <w:numPr>
          <w:ilvl w:val="0"/>
          <w:numId w:val="8"/>
        </w:numPr>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Ақпараттық келісім берген жүкті әйелдер.</w:t>
      </w:r>
    </w:p>
    <w:p w14:paraId="085D8678">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Зерттеуден шығару критерийлері:</w:t>
      </w:r>
    </w:p>
    <w:p w14:paraId="06FC71C1">
      <w:pPr>
        <w:widowControl w:val="0"/>
        <w:numPr>
          <w:ilvl w:val="0"/>
          <w:numId w:val="9"/>
        </w:numPr>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Жүйелік аурулары (асқазан–ішек жолдары, аутоиммундық, неврологиялық және гематологиялық аурулар, темір тапшылығы анемиясынан басқа), психикалық бұзылыстары, сондай–ақ АИТВ, гепатит В және С сияқты жұқпалары бар науқастар;</w:t>
      </w:r>
    </w:p>
    <w:p w14:paraId="1DA4A985">
      <w:pPr>
        <w:widowControl w:val="0"/>
        <w:numPr>
          <w:ilvl w:val="0"/>
          <w:numId w:val="9"/>
        </w:numPr>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Темір қоспаларын қабылдап жатқан науқастар;</w:t>
      </w:r>
    </w:p>
    <w:p w14:paraId="510813D4">
      <w:pPr>
        <w:widowControl w:val="0"/>
        <w:numPr>
          <w:ilvl w:val="0"/>
          <w:numId w:val="9"/>
        </w:numPr>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Келісім ақпаратын оқып, түсіне алмайтын және қол қоя алмайтын науқастар;</w:t>
      </w:r>
    </w:p>
    <w:p w14:paraId="3DED94EA">
      <w:pPr>
        <w:widowControl w:val="0"/>
        <w:numPr>
          <w:ilvl w:val="0"/>
          <w:numId w:val="9"/>
        </w:numPr>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Кәмелетке толмаған жүктілік;</w:t>
      </w:r>
    </w:p>
    <w:p w14:paraId="5E76BA3C">
      <w:pPr>
        <w:widowControl w:val="0"/>
        <w:numPr>
          <w:ilvl w:val="0"/>
          <w:numId w:val="9"/>
        </w:numPr>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Верификацияланбаған диагнозы бар жүктілер.</w:t>
      </w:r>
    </w:p>
    <w:p w14:paraId="0BD378DA">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Зерттеуге қосылған науқастар зерттеу жұмысына сәйкес анықталған критерийлер бойынша іріктеліп алынды. Зерттеу барысында науқастардың қауіпсіздігі мен деректердің құпиялылығы толық қамтамасыз етілді, әрбір қатысушы зерттеудің барлық кезеңдерінде өз еркімен кез келген уақытта қатысудан бас тарту құқығына ие болды.</w:t>
      </w:r>
    </w:p>
    <w:p w14:paraId="4ACFE9A2">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 </w:t>
      </w:r>
    </w:p>
    <w:p w14:paraId="2542CCA9">
      <w:pPr>
        <w:widowControl w:val="0"/>
        <w:autoSpaceDE w:val="0"/>
        <w:autoSpaceDN w:val="0"/>
        <w:spacing w:after="0" w:line="276" w:lineRule="auto"/>
        <w:ind w:firstLine="709"/>
        <w:jc w:val="both"/>
        <w:outlineLvl w:val="0"/>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eastAsia="ru-RU"/>
        </w:rPr>
        <w:t>2.3 Зерттеуге қажетті материалдар және зерттеуді жүргізу әдістері</w:t>
      </w:r>
    </w:p>
    <w:p w14:paraId="0EB23CF3">
      <w:pPr>
        <w:widowControl w:val="0"/>
        <w:autoSpaceDE w:val="0"/>
        <w:autoSpaceDN w:val="0"/>
        <w:spacing w:after="0" w:line="276" w:lineRule="auto"/>
        <w:ind w:firstLine="709"/>
        <w:jc w:val="both"/>
        <w:outlineLvl w:val="0"/>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eastAsia="ru-RU"/>
        </w:rPr>
        <w:t xml:space="preserve"> </w:t>
      </w:r>
    </w:p>
    <w:p w14:paraId="66D8E9AD">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bookmarkStart w:id="4" w:name="_Hlk163707842"/>
      <w:bookmarkEnd w:id="4"/>
      <w:r>
        <w:rPr>
          <w:rFonts w:ascii="Times New Roman" w:hAnsi="Times New Roman" w:eastAsia="Times New Roman" w:cs="Times New Roman"/>
          <w:sz w:val="28"/>
          <w:szCs w:val="28"/>
          <w:lang w:eastAsia="ru-RU"/>
        </w:rPr>
        <w:t>Зерттеуге қатысушы науқастарды зертханалық және клиникалық тексеру, сондай–ақ сауалнама толтыру (</w:t>
      </w:r>
      <w:r>
        <w:rPr>
          <w:rFonts w:ascii="Times New Roman" w:hAnsi="Times New Roman" w:eastAsia="Times New Roman" w:cs="Times New Roman"/>
          <w:bCs/>
          <w:sz w:val="28"/>
          <w:szCs w:val="28"/>
          <w:lang w:eastAsia="ru-RU"/>
        </w:rPr>
        <w:t>Қосымша Б</w:t>
      </w:r>
      <w:r>
        <w:rPr>
          <w:rFonts w:ascii="Times New Roman" w:hAnsi="Times New Roman" w:eastAsia="Times New Roman" w:cs="Times New Roman"/>
          <w:sz w:val="28"/>
          <w:szCs w:val="28"/>
          <w:lang w:eastAsia="ru-RU"/>
        </w:rPr>
        <w:t xml:space="preserve">) жұмыстары Қарағанды облыстық клиникалық ауруханасының №1 Перинаталдық орталығында өткізілді. Иммуноферменттік талдау үшін биоматериалды зерттеу «Қарағанды медициналық университеті» КеАҚ–ның </w:t>
      </w:r>
      <w:r>
        <w:rPr>
          <w:rFonts w:ascii="Times New Roman" w:hAnsi="Times New Roman" w:eastAsia="Times New Roman" w:cs="Times New Roman"/>
          <w:sz w:val="28"/>
          <w:szCs w:val="28"/>
          <w:lang w:val="kk-KZ" w:eastAsia="ru-RU"/>
        </w:rPr>
        <w:t xml:space="preserve">Өмір туралы ғылымдар институтында </w:t>
      </w:r>
      <w:r>
        <w:rPr>
          <w:rFonts w:ascii="Times New Roman" w:hAnsi="Times New Roman" w:eastAsia="Times New Roman" w:cs="Times New Roman"/>
          <w:sz w:val="28"/>
          <w:szCs w:val="28"/>
          <w:lang w:eastAsia="ru-RU"/>
        </w:rPr>
        <w:t>жүргізілді. Иммуноферментті талдау арқылы гепсидин, ферритин, эритропоэтин, С</w:t>
      </w:r>
      <w:r>
        <w:rPr>
          <w:rFonts w:ascii="Times New Roman" w:hAnsi="Times New Roman" w:eastAsia="Times New Roman" w:cs="Times New Roman"/>
          <w:sz w:val="28"/>
          <w:szCs w:val="28"/>
          <w:lang w:val="kk-KZ" w:eastAsia="ru-RU"/>
        </w:rPr>
        <w:t>РА</w:t>
      </w:r>
      <w:r>
        <w:rPr>
          <w:rFonts w:ascii="Times New Roman" w:hAnsi="Times New Roman" w:eastAsia="Times New Roman" w:cs="Times New Roman"/>
          <w:sz w:val="28"/>
          <w:szCs w:val="28"/>
          <w:lang w:eastAsia="ru-RU"/>
        </w:rPr>
        <w:t xml:space="preserve"> және ИЛ–6 көрсеткіштері анықталды.</w:t>
      </w:r>
    </w:p>
    <w:p w14:paraId="2A8982EB">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Зерттеуге қатысқан әрбір жүкті әйелдің анамнездік деректері, қосымша зерттеу нәтижелері және босану ерекшеліктері жеке тіркеліп отырды. Зерттеу барысында барлық науқастардың клиникалық–зертханалық мәліметтері ауру тарихы мен алмасу картасынан алынып, семіздіктің темір тапшылығына әсерін бағалау үшін қолданылды.</w:t>
      </w:r>
    </w:p>
    <w:p w14:paraId="78702884">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Зерттеу кезеңдерінің бірі ретінде, зерттеуге қатысушы жүкті әйелдерден иммундық ферментті талдауға қажетті биоматериал (қан) алынды. Барлық топтардағы жүкті әйелдер мен бақылау тобындағы қатысушылардан көктамырдан 5 мл қан үлгісі алынды. Алынған қан үлгілерінен жасушалық массалардан қан сарысуын бөліп алу үшін центрифугалау әдісі қолданылды. Сарысу 5 мл көлемдегі, 13х100 мм өлшемдегі, сары қақпағы мен гелі бар вакуумдық пробиркаларда жинақталып сақталды.</w:t>
      </w:r>
    </w:p>
    <w:p w14:paraId="01CF442C">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Қан сарысуын талдау EVOLIS BioRad (сурет–3) аппаратымен жүзеге асырылды. EVOLIS – толық автоматтандырылған иммундық ферментті талдау анализаторы, ол заманауи иммуноферментті талдау әдістерін қолданып, нәтижелердің жоғары дәлдігін қамтамасыз етеді. EVOLIS құрылғысы зерттеуде қолданылған барлық биомаркерлерді (гепсидин, ферритин, эритропоэтин, С–реактивті ақуыз, интерлейкин–6) анықтауға мүмкіндік берді және зерттеу нәтижелерінің сенімділігін арттырды.</w:t>
      </w:r>
    </w:p>
    <w:p w14:paraId="0776F4F9">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EVOLIS құрылғысы – толық автоматтандырылған иммундық ферментті талдау (ИФА) жүйесі, зерттеулерде жоғары тиімділік пен дәлдікті қамтамасыз ететін заманауи аппарат. EVOLIS құрылғысының құрамына мөлшерлеу құрылғысы, инкубатор, шайба, микропластинаға арналған оқу құралы мен компьютермен басқару жүйесі кіреді, бұл зерттеу жұмысын оңтайландырып, талдау процесін жылдамдатады.</w:t>
      </w:r>
    </w:p>
    <w:p w14:paraId="79A0B5A5">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 </w:t>
      </w:r>
    </w:p>
    <w:p w14:paraId="25656CD3">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drawing>
          <wp:inline distT="0" distB="0" distL="0" distR="0">
            <wp:extent cx="2881630" cy="3394075"/>
            <wp:effectExtent l="0" t="0" r="0" b="0"/>
            <wp:docPr id="87" name="Рисунок 87" descr="C:\Users\kgmuuser\AppData\Local\Temp\ksohtml7396\wps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Рисунок 87" descr="C:\Users\kgmuuser\AppData\Local\Temp\ksohtml7396\wps3.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2881630" cy="3394075"/>
                    </a:xfrm>
                    <a:prstGeom prst="rect">
                      <a:avLst/>
                    </a:prstGeom>
                    <a:noFill/>
                    <a:ln>
                      <a:noFill/>
                    </a:ln>
                  </pic:spPr>
                </pic:pic>
              </a:graphicData>
            </a:graphic>
          </wp:inline>
        </w:drawing>
      </w:r>
      <w:r>
        <w:rPr>
          <w:rFonts w:ascii="Times New Roman" w:hAnsi="Times New Roman" w:eastAsia="Times New Roman" w:cs="Times New Roman"/>
          <w:sz w:val="28"/>
          <w:szCs w:val="28"/>
          <w:lang w:eastAsia="ru-RU"/>
        </w:rPr>
        <w:t xml:space="preserve"> </w:t>
      </w:r>
    </w:p>
    <w:p w14:paraId="3F0CA8F4">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p>
    <w:p w14:paraId="63BA6B5C">
      <w:pPr>
        <w:widowControl w:val="0"/>
        <w:autoSpaceDE w:val="0"/>
        <w:autoSpaceDN w:val="0"/>
        <w:spacing w:after="0" w:line="276" w:lineRule="auto"/>
        <w:ind w:firstLine="709"/>
        <w:jc w:val="both"/>
        <w:outlineLvl w:val="0"/>
        <w:rPr>
          <w:rFonts w:ascii="Times New Roman" w:hAnsi="Times New Roman" w:eastAsia="Times New Roman" w:cs="Times New Roman"/>
          <w:iCs/>
          <w:sz w:val="28"/>
          <w:szCs w:val="28"/>
          <w:lang w:eastAsia="ru-RU"/>
        </w:rPr>
      </w:pPr>
      <w:r>
        <w:rPr>
          <w:rFonts w:ascii="Times New Roman" w:hAnsi="Times New Roman" w:eastAsia="Times New Roman" w:cs="Times New Roman"/>
          <w:iCs/>
          <w:sz w:val="28"/>
          <w:szCs w:val="28"/>
          <w:lang w:eastAsia="ru-RU"/>
        </w:rPr>
        <w:t>Сурет – 3. EVOLIS BioRad аппаратымен жұмыс жүргізу барысы.</w:t>
      </w:r>
    </w:p>
    <w:p w14:paraId="01B596A5">
      <w:pPr>
        <w:widowControl w:val="0"/>
        <w:autoSpaceDE w:val="0"/>
        <w:autoSpaceDN w:val="0"/>
        <w:spacing w:after="0" w:line="276" w:lineRule="auto"/>
        <w:ind w:firstLine="709"/>
        <w:jc w:val="both"/>
        <w:outlineLvl w:val="0"/>
        <w:rPr>
          <w:rFonts w:ascii="Times New Roman" w:hAnsi="Times New Roman" w:eastAsia="Times New Roman" w:cs="Times New Roman"/>
          <w:iCs/>
          <w:sz w:val="28"/>
          <w:szCs w:val="28"/>
          <w:lang w:eastAsia="ru-RU"/>
        </w:rPr>
      </w:pPr>
      <w:r>
        <w:rPr>
          <w:rFonts w:ascii="Times New Roman" w:hAnsi="Times New Roman" w:eastAsia="Times New Roman" w:cs="Times New Roman"/>
          <w:iCs/>
          <w:sz w:val="28"/>
          <w:szCs w:val="28"/>
          <w:lang w:eastAsia="ru-RU"/>
        </w:rPr>
        <w:t xml:space="preserve"> </w:t>
      </w:r>
    </w:p>
    <w:p w14:paraId="2E60F2D6">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EVOLIS құрылғысының ерекшеліктері:</w:t>
      </w:r>
    </w:p>
    <w:p w14:paraId="5850CCBE">
      <w:pPr>
        <w:widowControl w:val="0"/>
        <w:numPr>
          <w:ilvl w:val="0"/>
          <w:numId w:val="10"/>
        </w:numPr>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Автоматты диспенсер: Пробиркалар мен микропланшеттердегі сынамалар мен реагенттер алдын ала дайындалып, үлгілер мен реагенттерді тамызу (диспенсерлеу) автоматтандырылған.</w:t>
      </w:r>
    </w:p>
    <w:p w14:paraId="2ECB6D11">
      <w:pPr>
        <w:widowControl w:val="0"/>
        <w:numPr>
          <w:ilvl w:val="0"/>
          <w:numId w:val="10"/>
        </w:numPr>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Сұйылту және архивация модулі: Зерттеу үшін 167 үлгіге дейін алдын ала сұйылтып немесе мұрағаттауға мүмкіндік береді.</w:t>
      </w:r>
    </w:p>
    <w:p w14:paraId="4D23E90F">
      <w:pPr>
        <w:widowControl w:val="0"/>
        <w:numPr>
          <w:ilvl w:val="0"/>
          <w:numId w:val="10"/>
        </w:numPr>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Үлгі мен реагенттерді тамшуырлау: Бір реттік ұштарды қолдану арқылы ластанудан қорғаныс қамтамасыз етілген. 96 кеңестен тұратын 2 сөре қолданылды.</w:t>
      </w:r>
    </w:p>
    <w:p w14:paraId="75B0D404">
      <w:pPr>
        <w:widowControl w:val="0"/>
        <w:numPr>
          <w:ilvl w:val="0"/>
          <w:numId w:val="10"/>
        </w:numPr>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Үлгі мен реагент сөрелері: 167 бастапқы үлгі түтіктерін және реагенттерді бір уақытта жүктеу мүмкіндігі бар.</w:t>
      </w:r>
    </w:p>
    <w:p w14:paraId="1BC2890D">
      <w:pPr>
        <w:widowControl w:val="0"/>
        <w:numPr>
          <w:ilvl w:val="0"/>
          <w:numId w:val="10"/>
        </w:numPr>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Үлгі мен реагенттерді тамшуырлау модулі: 4 микропластинканы бір планшетте 12 түрлі сынақ жүйелеріне дейін біріктіруге мүмкіндік береді.</w:t>
      </w:r>
    </w:p>
    <w:p w14:paraId="11108B45">
      <w:pPr>
        <w:widowControl w:val="0"/>
        <w:numPr>
          <w:ilvl w:val="0"/>
          <w:numId w:val="10"/>
        </w:numPr>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Инкубатор: Температураны төрт түрлі деңгейде реттеуге мүмкіндік беретін инкубация модулі бар.</w:t>
      </w:r>
    </w:p>
    <w:p w14:paraId="42BB9DD9">
      <w:pPr>
        <w:widowControl w:val="0"/>
        <w:numPr>
          <w:ilvl w:val="0"/>
          <w:numId w:val="10"/>
        </w:numPr>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Жуу буфері контейнерлері: Жуу ерітінділері үшін 4 контейнерге дейін ұстау мүмкіндігі.</w:t>
      </w:r>
    </w:p>
    <w:p w14:paraId="32A3681F">
      <w:pPr>
        <w:widowControl w:val="0"/>
        <w:numPr>
          <w:ilvl w:val="0"/>
          <w:numId w:val="10"/>
        </w:numPr>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Шаю модулі: Қос 8 арналы тәуелсіз қолдану жүйелері арқылы тазалау процесі тиімді жүргізіледі.</w:t>
      </w:r>
    </w:p>
    <w:p w14:paraId="41DE4261">
      <w:pPr>
        <w:widowControl w:val="0"/>
        <w:numPr>
          <w:ilvl w:val="0"/>
          <w:numId w:val="10"/>
        </w:numPr>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Микропластинаны тасымалдау модулі: Процедураларды оңтайландыру үшін микропластиналарды анализаторлар арасында жылжыту мүмкіндігі қамтамасыз етілген.</w:t>
      </w:r>
    </w:p>
    <w:p w14:paraId="06A56A45">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Техникалық сипаттамалары:</w:t>
      </w:r>
    </w:p>
    <w:p w14:paraId="12EA832E">
      <w:pPr>
        <w:widowControl w:val="0"/>
        <w:numPr>
          <w:ilvl w:val="0"/>
          <w:numId w:val="11"/>
        </w:numPr>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Борттағы үлгілер саны: 196</w:t>
      </w:r>
    </w:p>
    <w:p w14:paraId="49B73255">
      <w:pPr>
        <w:widowControl w:val="0"/>
        <w:numPr>
          <w:ilvl w:val="0"/>
          <w:numId w:val="11"/>
        </w:numPr>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Сұйылту мүмкіндігі: 90–288</w:t>
      </w:r>
    </w:p>
    <w:p w14:paraId="1412D0AE">
      <w:pPr>
        <w:widowControl w:val="0"/>
        <w:numPr>
          <w:ilvl w:val="0"/>
          <w:numId w:val="11"/>
        </w:numPr>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Негізгі түтік өлшемі: диаметрі 10–16 мм, биіктігі 50–100 мм</w:t>
      </w:r>
    </w:p>
    <w:p w14:paraId="30DC68F8">
      <w:pPr>
        <w:widowControl w:val="0"/>
        <w:numPr>
          <w:ilvl w:val="0"/>
          <w:numId w:val="11"/>
        </w:numPr>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Үлгіні сұйылту: 1/10 000 дейін</w:t>
      </w:r>
    </w:p>
    <w:p w14:paraId="12B3D00F">
      <w:pPr>
        <w:widowControl w:val="0"/>
        <w:numPr>
          <w:ilvl w:val="0"/>
          <w:numId w:val="11"/>
        </w:numPr>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Калибраторлар мен бақылау үлгілерінің саны: 31</w:t>
      </w:r>
    </w:p>
    <w:p w14:paraId="17417A63">
      <w:pPr>
        <w:widowControl w:val="0"/>
        <w:numPr>
          <w:ilvl w:val="0"/>
          <w:numId w:val="11"/>
        </w:numPr>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Реагенттер контейнерлері: Bio–Rad бөтелкелері</w:t>
      </w:r>
    </w:p>
    <w:p w14:paraId="4600DE83">
      <w:pPr>
        <w:widowControl w:val="0"/>
        <w:numPr>
          <w:ilvl w:val="0"/>
          <w:numId w:val="11"/>
        </w:numPr>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Реагенттерді штрих–код арқылы анықтау және жарамдылық мерзімін бақылау мүмкіндігі</w:t>
      </w:r>
    </w:p>
    <w:p w14:paraId="2A652A6C">
      <w:pPr>
        <w:widowControl w:val="0"/>
        <w:numPr>
          <w:ilvl w:val="0"/>
          <w:numId w:val="11"/>
        </w:numPr>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Пробиркалар үшін орташа өлшеу уақыты: әр пластина үшін 16 минут</w:t>
      </w:r>
    </w:p>
    <w:p w14:paraId="06193B1E">
      <w:pPr>
        <w:widowControl w:val="0"/>
        <w:numPr>
          <w:ilvl w:val="0"/>
          <w:numId w:val="11"/>
        </w:numPr>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Құрылғы типі: Автоматты</w:t>
      </w:r>
    </w:p>
    <w:p w14:paraId="10FDA520">
      <w:pPr>
        <w:widowControl w:val="0"/>
        <w:numPr>
          <w:ilvl w:val="0"/>
          <w:numId w:val="11"/>
        </w:numPr>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Зерттеу түрі: ИФА (иммуноферменттік талдау)</w:t>
      </w:r>
    </w:p>
    <w:p w14:paraId="6DB46B14">
      <w:pPr>
        <w:widowControl w:val="0"/>
        <w:numPr>
          <w:ilvl w:val="0"/>
          <w:numId w:val="11"/>
        </w:numPr>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Зерттеу әдісі: Фотометрия</w:t>
      </w:r>
    </w:p>
    <w:p w14:paraId="3D7CCFC8">
      <w:pPr>
        <w:widowControl w:val="0"/>
        <w:numPr>
          <w:ilvl w:val="0"/>
          <w:numId w:val="11"/>
        </w:numPr>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Шейкер, шаю құрылғысы, инкубатор, сенсорлық дисплей және штрих–код оқу құралы кіріктірілген</w:t>
      </w:r>
    </w:p>
    <w:p w14:paraId="783C0CAF">
      <w:pPr>
        <w:widowControl w:val="0"/>
        <w:numPr>
          <w:ilvl w:val="0"/>
          <w:numId w:val="11"/>
        </w:numPr>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LIS–пен байланыс мүмкіндігі бар</w:t>
      </w:r>
    </w:p>
    <w:p w14:paraId="32BF9E65">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Жұмыс өнімділігі мен басқару жүйесі:</w:t>
      </w:r>
    </w:p>
    <w:p w14:paraId="7C2C563D">
      <w:pPr>
        <w:widowControl w:val="0"/>
        <w:numPr>
          <w:ilvl w:val="0"/>
          <w:numId w:val="12"/>
        </w:numPr>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Құрылғыны іске қосу және үлгілерді жүктеу 10 минут уақыт алады.</w:t>
      </w:r>
    </w:p>
    <w:p w14:paraId="4BF5624A">
      <w:pPr>
        <w:widowControl w:val="0"/>
        <w:numPr>
          <w:ilvl w:val="0"/>
          <w:numId w:val="12"/>
        </w:numPr>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Бір уақытта 167 үлгіге дейін жүктеледі.</w:t>
      </w:r>
    </w:p>
    <w:p w14:paraId="1FC87BBD">
      <w:pPr>
        <w:widowControl w:val="0"/>
        <w:numPr>
          <w:ilvl w:val="0"/>
          <w:numId w:val="12"/>
        </w:numPr>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Әртүрлі сынақ жүйелерін бір микропластинада біріктіру мүмкіндігі бар.</w:t>
      </w:r>
    </w:p>
    <w:p w14:paraId="693FC6BE">
      <w:pPr>
        <w:widowControl w:val="0"/>
        <w:numPr>
          <w:ilvl w:val="0"/>
          <w:numId w:val="12"/>
        </w:numPr>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LIS (Зертханалық ақпараттық жүйе) арқылы деректермен алмасу жүргізіледі.</w:t>
      </w:r>
    </w:p>
    <w:p w14:paraId="4EB852FF">
      <w:pPr>
        <w:widowControl w:val="0"/>
        <w:numPr>
          <w:ilvl w:val="0"/>
          <w:numId w:val="12"/>
        </w:numPr>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Timeliner™ интерфейсі арқылы бағдарламалық қамтамасыз ету жүйесі оңай басқарылып, барлық процестер оңтайландырылады.</w:t>
      </w:r>
    </w:p>
    <w:p w14:paraId="1054D0AA">
      <w:pPr>
        <w:widowControl w:val="0"/>
        <w:numPr>
          <w:ilvl w:val="0"/>
          <w:numId w:val="12"/>
        </w:numPr>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Штрих–код арқылы үлгілер мен реагенттерді сәйкестендіру және жарамдылық мерзімін бақылау жүргізіледі.</w:t>
      </w:r>
    </w:p>
    <w:p w14:paraId="20D5BCF0">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EVOLIS құрылғысы интуитивті бағдарламалық құралдың арқасында жұмыс барысын жеңілдетіп, барлық процестердің оңтайландырылғанына көз жеткізуге мүмкіндік берді. Реагенттер мен басқару элементтері штрих–код арқылы анықталып, лот нөмірін бақылау жүйесімен басқарылды. EVOLIS құрылғысының автоматтандырылған мүмкіндіктері жұмысты жеңілдетіп, зерттеу барысында алынған нәтижелердің дәлдігі мен сенімділігін қамтамасыз етті.</w:t>
      </w:r>
    </w:p>
    <w:p w14:paraId="42BDF8FC">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 </w:t>
      </w:r>
    </w:p>
    <w:p w14:paraId="0D05C56D">
      <w:pPr>
        <w:widowControl w:val="0"/>
        <w:autoSpaceDE w:val="0"/>
        <w:autoSpaceDN w:val="0"/>
        <w:spacing w:after="0" w:line="276" w:lineRule="auto"/>
        <w:ind w:firstLine="709"/>
        <w:jc w:val="both"/>
        <w:outlineLvl w:val="0"/>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eastAsia="ru-RU"/>
        </w:rPr>
        <w:t>2.3.1 Зерттеуге қатысқан жүктілерге сауалнама толтыруды жүргізу барысы</w:t>
      </w:r>
    </w:p>
    <w:p w14:paraId="31738CF6">
      <w:pPr>
        <w:widowControl w:val="0"/>
        <w:autoSpaceDE w:val="0"/>
        <w:autoSpaceDN w:val="0"/>
        <w:spacing w:after="0" w:line="276" w:lineRule="auto"/>
        <w:ind w:firstLine="709"/>
        <w:jc w:val="both"/>
        <w:outlineLvl w:val="0"/>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eastAsia="ru-RU"/>
        </w:rPr>
        <w:t xml:space="preserve"> </w:t>
      </w:r>
    </w:p>
    <w:p w14:paraId="38F39335">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Зерттеуге қатысқан жүкті әйелдерге сауалнама толтыру жүргізілді. Сауалнама анемияға әкелуі мүмкін қауіп факторларын анықтау үшін дайындалды. Сауалнама келесі негізгі бөлімдерден тұрды:</w:t>
      </w:r>
    </w:p>
    <w:p w14:paraId="736329EC">
      <w:pPr>
        <w:widowControl w:val="0"/>
        <w:numPr>
          <w:ilvl w:val="0"/>
          <w:numId w:val="13"/>
        </w:numPr>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Жалпы ақпараттық мәліметтер: жүктілердің жасы, жүктілікке дейінгі салмағы, бойы және ДСИ, зиянды әдеттері.</w:t>
      </w:r>
    </w:p>
    <w:p w14:paraId="3E4C427D">
      <w:pPr>
        <w:widowControl w:val="0"/>
        <w:numPr>
          <w:ilvl w:val="0"/>
          <w:numId w:val="13"/>
        </w:numPr>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Тұқымқуалаушылыққа бейімділік: отбасында анемия немесе басқа тұқым қуалайтын аурулардың бар–жоғы анықталды.</w:t>
      </w:r>
    </w:p>
    <w:p w14:paraId="0E9F83B7">
      <w:pPr>
        <w:widowControl w:val="0"/>
        <w:numPr>
          <w:ilvl w:val="0"/>
          <w:numId w:val="13"/>
        </w:numPr>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Анемияға қарсы қолданылатын препараттар: әйелдердің қандай дәрілік препараттар алатындығы және олардың анемияға қарсы қолданылуы жайлы ақпарат жиналды.</w:t>
      </w:r>
    </w:p>
    <w:p w14:paraId="188CAFD7">
      <w:pPr>
        <w:widowControl w:val="0"/>
        <w:numPr>
          <w:ilvl w:val="0"/>
          <w:numId w:val="13"/>
        </w:numPr>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Қосымша патологиялар: қосымша аурулардың болуы (жүрек–қан тамырлары аурулары, диабет және т.б.).</w:t>
      </w:r>
    </w:p>
    <w:p w14:paraId="684292F6">
      <w:pPr>
        <w:widowControl w:val="0"/>
        <w:numPr>
          <w:ilvl w:val="0"/>
          <w:numId w:val="13"/>
        </w:numPr>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Тамақтану ерекшеліктері: науқастардың тамақтану әдеттері, тағам құрамындағы темірдің жеткіліктілігі бағаланды.</w:t>
      </w:r>
    </w:p>
    <w:p w14:paraId="5D0CC89F">
      <w:pPr>
        <w:widowControl w:val="0"/>
        <w:numPr>
          <w:ilvl w:val="0"/>
          <w:numId w:val="13"/>
        </w:numPr>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Физикалық белсенділік: жүктілердің физикалық жаттығулармен шұғылдану деңгейі.</w:t>
      </w:r>
    </w:p>
    <w:p w14:paraId="4E79731F">
      <w:pPr>
        <w:widowControl w:val="0"/>
        <w:numPr>
          <w:ilvl w:val="0"/>
          <w:numId w:val="13"/>
        </w:numPr>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Алдыңғы жүктіліктің өтуі: бұрынғы жүктіліктерінің қалай өткені, қосымша акушерлік патологиялардың бар–жоғы туралы ақпарат жинақталды.</w:t>
      </w:r>
    </w:p>
    <w:p w14:paraId="244253AA">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Сауалнама толтыру барысы барлық әйелдерге жүргізілмеді, тек қана қосымша ақпарат қажет болған жағдайда, яғни науқастардың ауру тарихы мен алмасу картасындағы мәліметтер жеткіліксіз болған жағдайда ғана толтырылып  пайдаланылды.</w:t>
      </w:r>
    </w:p>
    <w:p w14:paraId="1F906DB6">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 </w:t>
      </w:r>
    </w:p>
    <w:p w14:paraId="02CDA781">
      <w:pPr>
        <w:widowControl w:val="0"/>
        <w:autoSpaceDE w:val="0"/>
        <w:autoSpaceDN w:val="0"/>
        <w:spacing w:after="0" w:line="276" w:lineRule="auto"/>
        <w:ind w:firstLine="709"/>
        <w:jc w:val="both"/>
        <w:outlineLvl w:val="0"/>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eastAsia="ru-RU"/>
        </w:rPr>
        <w:t>2.3.2 Клиникалық зерттеу әдістері</w:t>
      </w:r>
    </w:p>
    <w:p w14:paraId="269F9ED0">
      <w:pPr>
        <w:widowControl w:val="0"/>
        <w:autoSpaceDE w:val="0"/>
        <w:autoSpaceDN w:val="0"/>
        <w:spacing w:after="0" w:line="276" w:lineRule="auto"/>
        <w:ind w:firstLine="709"/>
        <w:jc w:val="both"/>
        <w:outlineLvl w:val="0"/>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eastAsia="ru-RU"/>
        </w:rPr>
        <w:t xml:space="preserve"> </w:t>
      </w:r>
    </w:p>
    <w:p w14:paraId="549C45B7">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Жатыр күмбезінің биіктігін өлшеу: жатыр күмбезінің биіктігі (fundal height) баланың өсуін тексерудің қарапайым және қолжетімді әдісі ретінде өлшенді. Өлшеу алдында жүкті әйелдің қуығын босатуы қажет. Жүкті әйелді арқасына жатқызып, аяқтарын түзу ұстауын қамтамасыз еткеннен кейін, сантиметрлік лента көмегімен жамбас сүйегінің қасаға симфизінен жатырдың жоғарғы жағына (fundus) дейінгі қашықтық өлшенді.</w:t>
      </w:r>
    </w:p>
    <w:p w14:paraId="0A2B5826">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Іш айналымын өлшеу: жүкті әйелді арқасына жатқызып, сантиметрлік лента арқылы іш айналымын өлшеу жүргізілді. Өлшеу барысында лентаны алдыңғы жағынан кіндік ойығы деңгейінде, ал артқы жағынан белдің ойысы деңгейінде орналастыру қажет.</w:t>
      </w:r>
    </w:p>
    <w:p w14:paraId="3BE1550A">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 </w:t>
      </w:r>
    </w:p>
    <w:p w14:paraId="4E88330E">
      <w:pPr>
        <w:widowControl w:val="0"/>
        <w:autoSpaceDE w:val="0"/>
        <w:autoSpaceDN w:val="0"/>
        <w:spacing w:after="0" w:line="276" w:lineRule="auto"/>
        <w:ind w:firstLine="709"/>
        <w:jc w:val="both"/>
        <w:outlineLvl w:val="0"/>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eastAsia="ru-RU"/>
        </w:rPr>
        <w:t xml:space="preserve">2.3.3 Дене салмағының индексінің өлшемі. </w:t>
      </w:r>
    </w:p>
    <w:p w14:paraId="5A1B726E">
      <w:pPr>
        <w:widowControl w:val="0"/>
        <w:autoSpaceDE w:val="0"/>
        <w:autoSpaceDN w:val="0"/>
        <w:spacing w:after="0" w:line="276" w:lineRule="auto"/>
        <w:ind w:firstLine="709"/>
        <w:jc w:val="both"/>
        <w:outlineLvl w:val="0"/>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eastAsia="ru-RU"/>
        </w:rPr>
        <w:t xml:space="preserve"> </w:t>
      </w:r>
    </w:p>
    <w:p w14:paraId="6A01D7B3">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Зерттеуге қатысқан жүкті әйелдердің антропометриялық көрсеткіштері ретроспективті түрде бағаланды. Жүктілікке дейінгі немесе жүктілік бойынша есепке тұрған кездегі (жүктіліктің 10 аптасына дейінгі) бой мен салмақ мәліметтері пайдаланылды. Семіздік диагнозын анықтау үшін және оны дәрежелерге бөлу үшін арнайы (Кетле) ДСИ фомуласы қолданылды. ДСИ анықтауда жүктілердің дене салмағы мен бойларының өлшемі арқылы келесі формуламен жүргізілді:</w:t>
      </w:r>
    </w:p>
    <w:p w14:paraId="63BCE3E3">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ДСИ=салмақ (кг)/бой (м)</w:t>
      </w:r>
      <w:r>
        <w:rPr>
          <w:rFonts w:ascii="Times New Roman" w:hAnsi="Times New Roman" w:eastAsia="Times New Roman" w:cs="Times New Roman"/>
          <w:sz w:val="28"/>
          <w:szCs w:val="28"/>
          <w:vertAlign w:val="superscript"/>
          <w:lang w:eastAsia="ru-RU"/>
        </w:rPr>
        <w:t>2</w:t>
      </w:r>
    </w:p>
    <w:p w14:paraId="607F70F3">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ДСИ көрсеткіштері Қазақстан Республикасының Денсаулық сақтау министрлігінің медициналық қызметтер сапасын бақылау бойынша біріккен комитетінің мақұлдануымен №18 «Физиологиялық жүктілікті жүргізу» хаттамасына (19.09.2013) сәйкес алынды:</w:t>
      </w:r>
    </w:p>
    <w:p w14:paraId="141D134A">
      <w:pPr>
        <w:widowControl w:val="0"/>
        <w:numPr>
          <w:ilvl w:val="0"/>
          <w:numId w:val="14"/>
        </w:numPr>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Төмен ДСИ – &lt;19,8</w:t>
      </w:r>
    </w:p>
    <w:p w14:paraId="3A79BEC5">
      <w:pPr>
        <w:widowControl w:val="0"/>
        <w:numPr>
          <w:ilvl w:val="0"/>
          <w:numId w:val="14"/>
        </w:numPr>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Қалыпты ДСИ – 19,9–26,0</w:t>
      </w:r>
    </w:p>
    <w:p w14:paraId="6B9870F1">
      <w:pPr>
        <w:widowControl w:val="0"/>
        <w:numPr>
          <w:ilvl w:val="0"/>
          <w:numId w:val="14"/>
        </w:numPr>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Артық салмақ – 26,1–29,0</w:t>
      </w:r>
    </w:p>
    <w:p w14:paraId="5231C489">
      <w:pPr>
        <w:widowControl w:val="0"/>
        <w:numPr>
          <w:ilvl w:val="0"/>
          <w:numId w:val="14"/>
        </w:numPr>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Семіздік – &gt;29</w:t>
      </w:r>
    </w:p>
    <w:p w14:paraId="5A4DA6B1">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 </w:t>
      </w:r>
    </w:p>
    <w:p w14:paraId="7000B5DB">
      <w:pPr>
        <w:widowControl w:val="0"/>
        <w:autoSpaceDE w:val="0"/>
        <w:autoSpaceDN w:val="0"/>
        <w:spacing w:after="0" w:line="276" w:lineRule="auto"/>
        <w:ind w:firstLine="709"/>
        <w:jc w:val="both"/>
        <w:outlineLvl w:val="0"/>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eastAsia="ru-RU"/>
        </w:rPr>
        <w:t>2.3.4 Клиникалық мәліметтерді жинау және талдау</w:t>
      </w:r>
    </w:p>
    <w:p w14:paraId="664D7F6D">
      <w:pPr>
        <w:widowControl w:val="0"/>
        <w:autoSpaceDE w:val="0"/>
        <w:autoSpaceDN w:val="0"/>
        <w:spacing w:after="0" w:line="276" w:lineRule="auto"/>
        <w:ind w:firstLine="709"/>
        <w:jc w:val="both"/>
        <w:outlineLvl w:val="0"/>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eastAsia="ru-RU"/>
        </w:rPr>
        <w:t xml:space="preserve"> </w:t>
      </w:r>
    </w:p>
    <w:p w14:paraId="461E75F4">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Барлық зерттеуге қатысушылардың босану үйінен шығару эпикризіндегі мәліметтері және зерттеу қорытындылары талданды. Бұл мәліметтерге жүктілердің келесі клиникалық және зертханалық көрсеткіштері енді:</w:t>
      </w:r>
    </w:p>
    <w:p w14:paraId="199FE710">
      <w:pPr>
        <w:widowControl w:val="0"/>
        <w:numPr>
          <w:ilvl w:val="0"/>
          <w:numId w:val="15"/>
        </w:numPr>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ЖҚА (жалпы қан анализі),</w:t>
      </w:r>
    </w:p>
    <w:p w14:paraId="267006FD">
      <w:pPr>
        <w:widowControl w:val="0"/>
        <w:numPr>
          <w:ilvl w:val="0"/>
          <w:numId w:val="15"/>
        </w:numPr>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Коагулограмма,</w:t>
      </w:r>
    </w:p>
    <w:p w14:paraId="32C8D7E6">
      <w:pPr>
        <w:widowControl w:val="0"/>
        <w:numPr>
          <w:ilvl w:val="0"/>
          <w:numId w:val="15"/>
        </w:numPr>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Қанның биохимиялық анализі.</w:t>
      </w:r>
    </w:p>
    <w:p w14:paraId="5E0F710A">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Сонымен қатар, аспаптық зерттеу нәтижелері, босану ерекшеліктері және босанғаннан кейінгі асқынулар да зерттелді.</w:t>
      </w:r>
    </w:p>
    <w:p w14:paraId="11706859">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 </w:t>
      </w:r>
    </w:p>
    <w:p w14:paraId="205FDE66">
      <w:pPr>
        <w:widowControl w:val="0"/>
        <w:autoSpaceDE w:val="0"/>
        <w:autoSpaceDN w:val="0"/>
        <w:spacing w:after="0" w:line="276" w:lineRule="auto"/>
        <w:ind w:firstLine="709"/>
        <w:jc w:val="both"/>
        <w:outlineLvl w:val="0"/>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eastAsia="ru-RU"/>
        </w:rPr>
        <w:t>2.4 Маркерлерді ИФА әдісімен бағалау гепсидин, эритропоэтин. интерлейки–</w:t>
      </w:r>
      <w:r>
        <w:rPr>
          <w:rFonts w:ascii="Times New Roman" w:hAnsi="Times New Roman" w:eastAsia="Times New Roman" w:cs="Times New Roman"/>
          <w:b/>
          <w:sz w:val="28"/>
          <w:szCs w:val="28"/>
          <w:lang w:val="kk-KZ" w:eastAsia="ru-RU"/>
        </w:rPr>
        <w:t>6, С-</w:t>
      </w:r>
      <w:r>
        <w:rPr>
          <w:rFonts w:ascii="Times New Roman" w:hAnsi="Times New Roman" w:eastAsia="Times New Roman" w:cs="Times New Roman"/>
          <w:b/>
          <w:sz w:val="28"/>
          <w:szCs w:val="28"/>
          <w:lang w:eastAsia="ru-RU"/>
        </w:rPr>
        <w:t>реактивті ақуызды және ферритинді ИФА әдісімен бағалау</w:t>
      </w:r>
    </w:p>
    <w:p w14:paraId="18E3AE26">
      <w:pPr>
        <w:widowControl w:val="0"/>
        <w:autoSpaceDE w:val="0"/>
        <w:autoSpaceDN w:val="0"/>
        <w:spacing w:after="0" w:line="276" w:lineRule="auto"/>
        <w:ind w:firstLine="709"/>
        <w:jc w:val="both"/>
        <w:outlineLvl w:val="0"/>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eastAsia="ru-RU"/>
        </w:rPr>
        <w:t xml:space="preserve"> </w:t>
      </w:r>
    </w:p>
    <w:p w14:paraId="719C9908">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Қан сарысуындағы гепсидин, </w:t>
      </w:r>
      <w:r>
        <w:rPr>
          <w:rFonts w:ascii="Times New Roman" w:hAnsi="Times New Roman" w:eastAsia="Times New Roman" w:cs="Times New Roman"/>
          <w:sz w:val="28"/>
          <w:szCs w:val="28"/>
          <w:lang w:val="kk-KZ" w:eastAsia="ru-RU"/>
        </w:rPr>
        <w:t>ЭПО</w:t>
      </w:r>
      <w:r>
        <w:rPr>
          <w:rFonts w:ascii="Times New Roman" w:hAnsi="Times New Roman" w:eastAsia="Times New Roman" w:cs="Times New Roman"/>
          <w:sz w:val="28"/>
          <w:szCs w:val="28"/>
          <w:lang w:eastAsia="ru-RU"/>
        </w:rPr>
        <w:t xml:space="preserve">, ИЛ–6, CРА, ферритиннің деңгейін анықтауды иммуноферментті анализ ELISA (CEB979Hu Enzyme–linked Immunosorbent AssayKitFor Hepcidin (Hepc), SEA028Hu Enzyme–linked Immunosorbent AssayKitFor Erythropoietin(EPO), HEA079Hu High Sensitive Enzyme–linked Immunosorbent AssayKitFor Interleukin6 (IL6), SEA821Hu Enzyme–linked Immunosorbent Assay Kit For C Reactive Protein (CRP), SEA518Hu Enzyme–linked </w:t>
      </w:r>
      <w:r>
        <w:rPr>
          <w:rFonts w:ascii="Times New Roman" w:hAnsi="Times New Roman" w:eastAsia="Times New Roman" w:cs="Times New Roman"/>
          <w:color w:val="000000"/>
          <w:sz w:val="28"/>
          <w:szCs w:val="28"/>
          <w:lang w:eastAsia="ru-RU"/>
        </w:rPr>
        <w:t xml:space="preserve">Immunosorbent Assay Kit For Ferritin (F) </w:t>
      </w:r>
      <w:r>
        <w:rPr>
          <w:rFonts w:ascii="Times New Roman" w:hAnsi="Times New Roman" w:eastAsia="Times New Roman" w:cs="Times New Roman"/>
          <w:sz w:val="28"/>
          <w:szCs w:val="28"/>
          <w:lang w:eastAsia="ru-RU"/>
        </w:rPr>
        <w:t>Cloud–clone</w:t>
      </w:r>
      <w:r>
        <w:rPr>
          <w:rFonts w:ascii="Times New Roman" w:hAnsi="Times New Roman" w:eastAsia="Times New Roman" w:cs="Times New Roman"/>
          <w:color w:val="000000"/>
          <w:sz w:val="28"/>
          <w:szCs w:val="28"/>
          <w:lang w:eastAsia="ru-RU"/>
        </w:rPr>
        <w:t>) жүргізілді.</w:t>
      </w:r>
    </w:p>
    <w:p w14:paraId="1FA7AEB6">
      <w:pPr>
        <w:widowControl w:val="0"/>
        <w:autoSpaceDE w:val="0"/>
        <w:autoSpaceDN w:val="0"/>
        <w:spacing w:after="0" w:line="276" w:lineRule="auto"/>
        <w:ind w:firstLine="709"/>
        <w:jc w:val="both"/>
        <w:outlineLvl w:val="0"/>
        <w:rPr>
          <w:rFonts w:ascii="Times New Roman" w:hAnsi="Times New Roman" w:eastAsia="Times New Roman" w:cs="Times New Roman"/>
          <w:color w:val="000000"/>
          <w:sz w:val="28"/>
          <w:szCs w:val="28"/>
          <w:lang w:eastAsia="ru-RU"/>
        </w:rPr>
      </w:pPr>
      <w:r>
        <w:rPr>
          <w:rFonts w:ascii="Times New Roman" w:hAnsi="Times New Roman" w:eastAsia="Times New Roman" w:cs="Times New Roman"/>
          <w:color w:val="000000"/>
          <w:sz w:val="28"/>
          <w:szCs w:val="28"/>
          <w:lang w:eastAsia="ru-RU"/>
        </w:rPr>
        <w:t xml:space="preserve">Үлгіні жинау және сақтау: Қан сарысуы – сарысу сепараторының түтігі пайдаланылды және үлгілерді бөлме температурасында екі сағат немесе центрифугалау алдында бір түнде шамамен 1000×г температурада 20 минут бойы ұюға мүмкіндік берілді. </w:t>
      </w:r>
      <w:r>
        <w:rPr>
          <w:rFonts w:ascii="Times New Roman" w:hAnsi="Times New Roman" w:eastAsia="Times New Roman" w:cs="Times New Roman"/>
          <w:sz w:val="28"/>
          <w:szCs w:val="28"/>
          <w:lang w:eastAsia="ru-RU"/>
        </w:rPr>
        <w:t>Assay</w:t>
      </w:r>
      <w:r>
        <w:rPr>
          <w:rFonts w:ascii="Times New Roman" w:hAnsi="Times New Roman" w:eastAsia="Times New Roman" w:cs="Times New Roman"/>
          <w:color w:val="000000"/>
          <w:sz w:val="28"/>
          <w:szCs w:val="28"/>
          <w:lang w:eastAsia="ru-RU"/>
        </w:rPr>
        <w:t xml:space="preserve"> жаңадан дайындалған сарысуды дереу немесе кейінірек пайдалану үшін –200С немесе –800С деңгейінде аликотта сақталынды. Бірнеше рет қатып қалу/еріту циклдары болған жоқ.</w:t>
      </w:r>
    </w:p>
    <w:p w14:paraId="7EE637AF">
      <w:pPr>
        <w:widowControl w:val="0"/>
        <w:autoSpaceDE w:val="0"/>
        <w:autoSpaceDN w:val="0"/>
        <w:spacing w:after="0" w:line="276" w:lineRule="auto"/>
        <w:ind w:firstLine="709"/>
        <w:jc w:val="both"/>
        <w:outlineLvl w:val="0"/>
        <w:rPr>
          <w:rFonts w:ascii="Times New Roman" w:hAnsi="Times New Roman" w:eastAsia="Times New Roman" w:cs="Times New Roman"/>
          <w:color w:val="000000"/>
          <w:sz w:val="28"/>
          <w:szCs w:val="28"/>
          <w:lang w:eastAsia="ru-RU"/>
        </w:rPr>
      </w:pPr>
      <w:r>
        <w:rPr>
          <w:rFonts w:ascii="Times New Roman" w:hAnsi="Times New Roman" w:eastAsia="Times New Roman" w:cs="Times New Roman"/>
          <w:color w:val="000000"/>
          <w:sz w:val="28"/>
          <w:szCs w:val="28"/>
          <w:lang w:eastAsia="ru-RU"/>
        </w:rPr>
        <w:t xml:space="preserve"> </w:t>
      </w:r>
    </w:p>
    <w:p w14:paraId="60F31DEC">
      <w:pPr>
        <w:widowControl w:val="0"/>
        <w:autoSpaceDE w:val="0"/>
        <w:autoSpaceDN w:val="0"/>
        <w:spacing w:after="0" w:line="276" w:lineRule="auto"/>
        <w:ind w:firstLine="709"/>
        <w:jc w:val="both"/>
        <w:outlineLvl w:val="0"/>
        <w:rPr>
          <w:rFonts w:ascii="Times New Roman" w:hAnsi="Times New Roman" w:eastAsia="Times New Roman" w:cs="Times New Roman"/>
          <w:b/>
          <w:iCs/>
          <w:color w:val="000000"/>
          <w:sz w:val="28"/>
          <w:szCs w:val="28"/>
          <w:lang w:eastAsia="ru-RU"/>
        </w:rPr>
      </w:pPr>
      <w:r>
        <w:rPr>
          <w:rFonts w:ascii="Times New Roman" w:hAnsi="Times New Roman" w:eastAsia="Times New Roman" w:cs="Times New Roman"/>
          <w:b/>
          <w:color w:val="000000"/>
          <w:sz w:val="28"/>
          <w:szCs w:val="28"/>
          <w:lang w:eastAsia="ru-RU"/>
        </w:rPr>
        <w:t>2.4.1</w:t>
      </w:r>
      <w:r>
        <w:rPr>
          <w:rFonts w:ascii="Times New Roman" w:hAnsi="Times New Roman" w:eastAsia="Times New Roman" w:cs="Times New Roman"/>
          <w:b/>
          <w:iCs/>
          <w:color w:val="000000"/>
          <w:sz w:val="28"/>
          <w:szCs w:val="28"/>
          <w:lang w:eastAsia="ru-RU"/>
        </w:rPr>
        <w:t xml:space="preserve"> Қажетті материалдардың тізімі:</w:t>
      </w:r>
    </w:p>
    <w:p w14:paraId="69CFCF8F">
      <w:pPr>
        <w:widowControl w:val="0"/>
        <w:autoSpaceDE w:val="0"/>
        <w:autoSpaceDN w:val="0"/>
        <w:spacing w:after="0" w:line="276" w:lineRule="auto"/>
        <w:ind w:firstLine="709"/>
        <w:jc w:val="both"/>
        <w:outlineLvl w:val="0"/>
        <w:rPr>
          <w:rFonts w:ascii="Times New Roman" w:hAnsi="Times New Roman" w:eastAsia="Times New Roman" w:cs="Times New Roman"/>
          <w:b/>
          <w:iCs/>
          <w:color w:val="000000"/>
          <w:sz w:val="28"/>
          <w:szCs w:val="28"/>
          <w:lang w:eastAsia="ru-RU"/>
        </w:rPr>
      </w:pPr>
      <w:r>
        <w:rPr>
          <w:rFonts w:ascii="Times New Roman" w:hAnsi="Times New Roman" w:eastAsia="Times New Roman" w:cs="Times New Roman"/>
          <w:b/>
          <w:iCs/>
          <w:color w:val="000000"/>
          <w:sz w:val="28"/>
          <w:szCs w:val="28"/>
          <w:lang w:eastAsia="ru-RU"/>
        </w:rPr>
        <w:t xml:space="preserve"> </w:t>
      </w:r>
    </w:p>
    <w:p w14:paraId="645A7F35">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color w:val="000000"/>
          <w:sz w:val="28"/>
          <w:szCs w:val="28"/>
          <w:lang w:eastAsia="ru-RU"/>
        </w:rPr>
        <w:t xml:space="preserve">1. 450 ± 10 нм сүзгісі бар микропластинаны </w:t>
      </w:r>
      <w:r>
        <w:rPr>
          <w:rFonts w:ascii="Times New Roman" w:hAnsi="Times New Roman" w:eastAsia="Times New Roman" w:cs="Times New Roman"/>
          <w:sz w:val="28"/>
          <w:szCs w:val="28"/>
          <w:lang w:eastAsia="ru-RU"/>
        </w:rPr>
        <w:t>оқу құрылғысы;</w:t>
      </w:r>
    </w:p>
    <w:p w14:paraId="7ECF016C">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2. Дәлдігі жоғары және бір рет қолданылатын ұштары бар бір немесе көп арналы тамшылатушылар;</w:t>
      </w:r>
    </w:p>
    <w:p w14:paraId="66767F06">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3. Микроцентрифугалық түтіктер;</w:t>
      </w:r>
    </w:p>
    <w:p w14:paraId="6AF3ED82">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4. Дейонизацияланған немесе тазартылған су;</w:t>
      </w:r>
    </w:p>
    <w:p w14:paraId="2AEB7662">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5. Микропластинаны сүртуге арналған сіңіргіш қағаз;</w:t>
      </w:r>
    </w:p>
    <w:p w14:paraId="262965A5">
      <w:pPr>
        <w:widowControl w:val="0"/>
        <w:autoSpaceDE w:val="0"/>
        <w:autoSpaceDN w:val="0"/>
        <w:spacing w:after="0" w:line="276" w:lineRule="auto"/>
        <w:ind w:firstLine="709"/>
        <w:jc w:val="both"/>
        <w:outlineLvl w:val="0"/>
        <w:rPr>
          <w:rFonts w:ascii="Times New Roman" w:hAnsi="Times New Roman" w:eastAsia="Times New Roman" w:cs="Times New Roman"/>
          <w:color w:val="000000"/>
          <w:sz w:val="28"/>
          <w:szCs w:val="28"/>
          <w:lang w:eastAsia="ru-RU"/>
        </w:rPr>
      </w:pPr>
      <w:r>
        <w:rPr>
          <w:rFonts w:ascii="Times New Roman" w:hAnsi="Times New Roman" w:eastAsia="Times New Roman" w:cs="Times New Roman"/>
          <w:sz w:val="28"/>
          <w:szCs w:val="28"/>
          <w:lang w:eastAsia="ru-RU"/>
        </w:rPr>
        <w:t xml:space="preserve">6. Жуу ерітіндісіне арналған контейнер. 7. 0,01моль/л (немесе 1×) фосфатты </w:t>
      </w:r>
      <w:r>
        <w:rPr>
          <w:rFonts w:ascii="Times New Roman" w:hAnsi="Times New Roman" w:eastAsia="Times New Roman" w:cs="Times New Roman"/>
          <w:color w:val="000000"/>
          <w:sz w:val="28"/>
          <w:szCs w:val="28"/>
          <w:lang w:eastAsia="ru-RU"/>
        </w:rPr>
        <w:t>буферленген тұз (PBS), pH7,0–7,2;</w:t>
      </w:r>
    </w:p>
    <w:p w14:paraId="1D2D2ED4">
      <w:pPr>
        <w:widowControl w:val="0"/>
        <w:autoSpaceDE w:val="0"/>
        <w:autoSpaceDN w:val="0"/>
        <w:spacing w:after="0" w:line="276" w:lineRule="auto"/>
        <w:ind w:firstLine="709"/>
        <w:jc w:val="both"/>
        <w:outlineLvl w:val="0"/>
        <w:rPr>
          <w:rFonts w:ascii="Times New Roman" w:hAnsi="Times New Roman" w:eastAsia="Times New Roman" w:cs="Times New Roman"/>
          <w:color w:val="000000"/>
          <w:sz w:val="28"/>
          <w:szCs w:val="28"/>
          <w:lang w:eastAsia="ru-RU"/>
        </w:rPr>
      </w:pPr>
      <w:r>
        <w:rPr>
          <w:rFonts w:ascii="Times New Roman" w:hAnsi="Times New Roman" w:eastAsia="Times New Roman" w:cs="Times New Roman"/>
          <w:color w:val="000000"/>
          <w:sz w:val="28"/>
          <w:szCs w:val="28"/>
          <w:lang w:eastAsia="ru-RU"/>
        </w:rPr>
        <w:t>Стандартты А, В анықтау реагенттері және 96–ұңғымалы жолақты тақтайша –20</w:t>
      </w:r>
      <w:r>
        <w:rPr>
          <w:rFonts w:ascii="Times New Roman" w:hAnsi="Times New Roman" w:eastAsia="Times New Roman" w:cs="Times New Roman"/>
          <w:color w:val="000000"/>
          <w:sz w:val="28"/>
          <w:szCs w:val="28"/>
          <w:vertAlign w:val="superscript"/>
          <w:lang w:eastAsia="ru-RU"/>
        </w:rPr>
        <w:t>0</w:t>
      </w:r>
      <w:r>
        <w:rPr>
          <w:rFonts w:ascii="Times New Roman" w:hAnsi="Times New Roman" w:eastAsia="Times New Roman" w:cs="Times New Roman"/>
          <w:color w:val="000000"/>
          <w:sz w:val="28"/>
          <w:szCs w:val="28"/>
          <w:lang w:eastAsia="ru-RU"/>
        </w:rPr>
        <w:t>С деңгейінде сақталынды.</w:t>
      </w:r>
    </w:p>
    <w:p w14:paraId="696A4438">
      <w:pPr>
        <w:widowControl w:val="0"/>
        <w:autoSpaceDE w:val="0"/>
        <w:autoSpaceDN w:val="0"/>
        <w:spacing w:after="0" w:line="276" w:lineRule="auto"/>
        <w:ind w:firstLine="709"/>
        <w:jc w:val="both"/>
        <w:outlineLvl w:val="0"/>
        <w:rPr>
          <w:rFonts w:ascii="Times New Roman" w:hAnsi="Times New Roman" w:eastAsia="Times New Roman" w:cs="Times New Roman"/>
          <w:color w:val="000000"/>
          <w:sz w:val="28"/>
          <w:szCs w:val="28"/>
          <w:lang w:eastAsia="ru-RU"/>
        </w:rPr>
      </w:pPr>
      <w:r>
        <w:rPr>
          <w:rFonts w:ascii="Times New Roman" w:hAnsi="Times New Roman" w:eastAsia="Times New Roman" w:cs="Times New Roman"/>
          <w:color w:val="000000"/>
          <w:sz w:val="28"/>
          <w:szCs w:val="28"/>
          <w:lang w:eastAsia="ru-RU"/>
        </w:rPr>
        <w:t xml:space="preserve"> </w:t>
      </w:r>
    </w:p>
    <w:p w14:paraId="2CC803F1">
      <w:pPr>
        <w:widowControl w:val="0"/>
        <w:autoSpaceDE w:val="0"/>
        <w:autoSpaceDN w:val="0"/>
        <w:spacing w:after="0" w:line="276" w:lineRule="auto"/>
        <w:ind w:firstLine="709"/>
        <w:jc w:val="both"/>
        <w:outlineLvl w:val="0"/>
        <w:rPr>
          <w:rFonts w:ascii="Times New Roman" w:hAnsi="Times New Roman" w:eastAsia="Times New Roman" w:cs="Times New Roman"/>
          <w:b/>
          <w:iCs/>
          <w:color w:val="000000"/>
          <w:sz w:val="28"/>
          <w:szCs w:val="28"/>
          <w:lang w:eastAsia="ru-RU"/>
        </w:rPr>
      </w:pPr>
      <w:r>
        <w:rPr>
          <w:rFonts w:ascii="Times New Roman" w:hAnsi="Times New Roman" w:eastAsia="Times New Roman" w:cs="Times New Roman"/>
          <w:b/>
          <w:color w:val="000000"/>
          <w:sz w:val="28"/>
          <w:szCs w:val="28"/>
          <w:lang w:eastAsia="ru-RU"/>
        </w:rPr>
        <w:t xml:space="preserve">2.4.2 </w:t>
      </w:r>
      <w:r>
        <w:rPr>
          <w:rFonts w:ascii="Times New Roman" w:hAnsi="Times New Roman" w:eastAsia="Times New Roman" w:cs="Times New Roman"/>
          <w:b/>
          <w:iCs/>
          <w:color w:val="000000"/>
          <w:sz w:val="28"/>
          <w:szCs w:val="28"/>
          <w:lang w:eastAsia="ru-RU"/>
        </w:rPr>
        <w:t>Реагенттерді дайындап алу:</w:t>
      </w:r>
    </w:p>
    <w:p w14:paraId="104C0819">
      <w:pPr>
        <w:widowControl w:val="0"/>
        <w:autoSpaceDE w:val="0"/>
        <w:autoSpaceDN w:val="0"/>
        <w:spacing w:after="0" w:line="276" w:lineRule="auto"/>
        <w:ind w:firstLine="709"/>
        <w:jc w:val="both"/>
        <w:outlineLvl w:val="0"/>
        <w:rPr>
          <w:rFonts w:ascii="Times New Roman" w:hAnsi="Times New Roman" w:eastAsia="Times New Roman" w:cs="Times New Roman"/>
          <w:b/>
          <w:iCs/>
          <w:color w:val="000000"/>
          <w:sz w:val="28"/>
          <w:szCs w:val="28"/>
          <w:lang w:eastAsia="ru-RU"/>
        </w:rPr>
      </w:pPr>
      <w:r>
        <w:rPr>
          <w:rFonts w:ascii="Times New Roman" w:hAnsi="Times New Roman" w:eastAsia="Times New Roman" w:cs="Times New Roman"/>
          <w:b/>
          <w:iCs/>
          <w:color w:val="000000"/>
          <w:sz w:val="28"/>
          <w:szCs w:val="28"/>
          <w:lang w:eastAsia="ru-RU"/>
        </w:rPr>
        <w:t xml:space="preserve"> </w:t>
      </w:r>
    </w:p>
    <w:p w14:paraId="4FDF6EDD">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color w:val="000000"/>
          <w:sz w:val="28"/>
          <w:szCs w:val="28"/>
          <w:lang w:eastAsia="ru-RU"/>
        </w:rPr>
        <w:t xml:space="preserve">1. Қолданар алдында </w:t>
      </w:r>
      <w:r>
        <w:rPr>
          <w:rFonts w:ascii="Times New Roman" w:hAnsi="Times New Roman" w:eastAsia="Times New Roman" w:cs="Times New Roman"/>
          <w:sz w:val="28"/>
          <w:szCs w:val="28"/>
          <w:lang w:eastAsia="ru-RU"/>
        </w:rPr>
        <w:t>жинақтың барлық компоненттері мен үлгілерін бөлме температурасында (18–25</w:t>
      </w:r>
      <w:r>
        <w:rPr>
          <w:rFonts w:ascii="Times New Roman" w:hAnsi="Times New Roman" w:eastAsia="Times New Roman" w:cs="Times New Roman"/>
          <w:sz w:val="28"/>
          <w:szCs w:val="28"/>
          <w:vertAlign w:val="superscript"/>
          <w:lang w:eastAsia="ru-RU"/>
        </w:rPr>
        <w:t>o</w:t>
      </w:r>
      <w:r>
        <w:rPr>
          <w:rFonts w:ascii="Times New Roman" w:hAnsi="Times New Roman" w:eastAsia="Times New Roman" w:cs="Times New Roman"/>
          <w:sz w:val="28"/>
          <w:szCs w:val="28"/>
          <w:lang w:eastAsia="ru-RU"/>
        </w:rPr>
        <w:t>C) жеткізіп алынды. Жинақ бір рет пайдаланылмайтын болса, тек осы тәжірибеге арналған жолақтар мен реагенттерді шығарып, қалған жолақтар мен реагенттер қажетті күйде қалдырыдып отырды.</w:t>
      </w:r>
    </w:p>
    <w:p w14:paraId="49ACEE93">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drawing>
          <wp:inline distT="0" distB="0" distL="0" distR="0">
            <wp:extent cx="13970" cy="13970"/>
            <wp:effectExtent l="0" t="0" r="0" b="0"/>
            <wp:docPr id="88" name="Рисунок 88" descr="C:\Users\kgmuuser\AppData\Local\Temp\ksohtml7396\wps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Рисунок 88" descr="C:\Users\kgmuuser\AppData\Local\Temp\ksohtml7396\wps4.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13970" cy="13970"/>
                    </a:xfrm>
                    <a:prstGeom prst="rect">
                      <a:avLst/>
                    </a:prstGeom>
                    <a:noFill/>
                    <a:ln>
                      <a:noFill/>
                    </a:ln>
                  </pic:spPr>
                </pic:pic>
              </a:graphicData>
            </a:graphic>
          </wp:inline>
        </w:drawing>
      </w:r>
      <w:r>
        <w:rPr>
          <w:rFonts w:ascii="Times New Roman" w:hAnsi="Times New Roman" w:eastAsia="Times New Roman" w:cs="Times New Roman"/>
          <w:sz w:val="28"/>
          <w:szCs w:val="28"/>
          <w:lang w:eastAsia="ru-RU"/>
        </w:rPr>
        <w:t xml:space="preserve">2. Стандартты – стандартты түрін 1,0 мл стандартты еріткішпен ерітіп, бөлме температурасында 10 минут ұсталынды, ақырын шайқатылды. Қор ерітіндісіндегі стандарт концентрациясы гепсидин үшін 200000пг/мл, эритропоэтин үшін 2000 пг/мл, ИЛ–6 үшін 50 пг/мл,  СРА үшін 20 мг/мл, ферритин үшін 40 пг/мл. Алдымен stock ерітіндісін гепсидин үшін 2000 пг/мл, эритропоэтин үшін 400 пг/мл, ИЛ–6 үшін 500 пг/мл, СРА үшін 20 пг/мл және ферритин үшін 10 пг/мл–ге дейін сұйылтылды және сұйылтылған стандарт ең жоғары стандарт қызметін атқарды. Содан кейін төменде көрсетілген суретке (cурет–4) сәйкес қосарланған сұйылту сериясын алу үшін 0,5 мл стандартты еріткіші бар 7 түтікшесі (гепсидин үшін  5 түтікше) дайындалып алынды және сұйылтылған стандарт пайдаланылды. </w:t>
      </w:r>
    </w:p>
    <w:p w14:paraId="0A495286">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p>
    <w:p w14:paraId="39EF9F58">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Гепсидин</w:t>
      </w:r>
    </w:p>
    <w:p w14:paraId="38C0C371">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drawing>
          <wp:inline distT="0" distB="0" distL="0" distR="0">
            <wp:extent cx="5777230" cy="1197610"/>
            <wp:effectExtent l="0" t="0" r="13970" b="2540"/>
            <wp:docPr id="89" name="Рисунок 89" descr="C:\Users\kgmuuser\AppData\Local\Temp\ksohtml7396\wps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Рисунок 89" descr="C:\Users\kgmuuser\AppData\Local\Temp\ksohtml7396\wps5.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5779387" cy="1197610"/>
                    </a:xfrm>
                    <a:prstGeom prst="rect">
                      <a:avLst/>
                    </a:prstGeom>
                    <a:noFill/>
                    <a:ln>
                      <a:noFill/>
                    </a:ln>
                  </pic:spPr>
                </pic:pic>
              </a:graphicData>
            </a:graphic>
          </wp:inline>
        </w:drawing>
      </w:r>
      <w:r>
        <w:rPr>
          <w:rFonts w:ascii="Times New Roman" w:hAnsi="Times New Roman" w:eastAsia="Times New Roman" w:cs="Times New Roman"/>
          <w:sz w:val="28"/>
          <w:szCs w:val="28"/>
          <w:lang w:eastAsia="ru-RU"/>
        </w:rPr>
        <w:t xml:space="preserve"> </w:t>
      </w:r>
    </w:p>
    <w:p w14:paraId="5616A309">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 </w:t>
      </w:r>
    </w:p>
    <w:p w14:paraId="3D797A12">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Эритропоэтин</w:t>
      </w:r>
    </w:p>
    <w:p w14:paraId="784CCA4B">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drawing>
          <wp:inline distT="0" distB="0" distL="0" distR="0">
            <wp:extent cx="5541645" cy="1424305"/>
            <wp:effectExtent l="0" t="0" r="1905" b="4445"/>
            <wp:docPr id="90" name="Рисунок 90" descr="C:\Users\kgmuuser\AppData\Local\Temp\ksohtml7396\wps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Рисунок 90" descr="C:\Users\kgmuuser\AppData\Local\Temp\ksohtml7396\wps6.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5541645" cy="1424305"/>
                    </a:xfrm>
                    <a:prstGeom prst="rect">
                      <a:avLst/>
                    </a:prstGeom>
                    <a:noFill/>
                    <a:ln>
                      <a:noFill/>
                    </a:ln>
                  </pic:spPr>
                </pic:pic>
              </a:graphicData>
            </a:graphic>
          </wp:inline>
        </w:drawing>
      </w:r>
      <w:r>
        <w:rPr>
          <w:rFonts w:ascii="Times New Roman" w:hAnsi="Times New Roman" w:eastAsia="Times New Roman" w:cs="Times New Roman"/>
          <w:sz w:val="28"/>
          <w:szCs w:val="28"/>
          <w:lang w:eastAsia="ru-RU"/>
        </w:rPr>
        <w:t xml:space="preserve"> </w:t>
      </w:r>
    </w:p>
    <w:p w14:paraId="34F9A392">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Интерлейкин–6</w:t>
      </w:r>
    </w:p>
    <w:p w14:paraId="6804E97C">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drawing>
          <wp:inline distT="0" distB="0" distL="0" distR="0">
            <wp:extent cx="5610860" cy="1434465"/>
            <wp:effectExtent l="0" t="0" r="8890" b="13335"/>
            <wp:docPr id="91" name="Рисунок 91" descr="C:\Users\kgmuuser\AppData\Local\Temp\ksohtml7396\wps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Рисунок 91" descr="C:\Users\kgmuuser\AppData\Local\Temp\ksohtml7396\wps7.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5610860" cy="1434465"/>
                    </a:xfrm>
                    <a:prstGeom prst="rect">
                      <a:avLst/>
                    </a:prstGeom>
                    <a:noFill/>
                    <a:ln>
                      <a:noFill/>
                    </a:ln>
                  </pic:spPr>
                </pic:pic>
              </a:graphicData>
            </a:graphic>
          </wp:inline>
        </w:drawing>
      </w:r>
      <w:r>
        <w:rPr>
          <w:rFonts w:ascii="Times New Roman" w:hAnsi="Times New Roman" w:eastAsia="Times New Roman" w:cs="Times New Roman"/>
          <w:sz w:val="28"/>
          <w:szCs w:val="28"/>
          <w:lang w:eastAsia="ru-RU"/>
        </w:rPr>
        <w:t xml:space="preserve"> </w:t>
      </w:r>
    </w:p>
    <w:p w14:paraId="1F7E24E6">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C–реактивті ақуыз</w:t>
      </w:r>
    </w:p>
    <w:p w14:paraId="455A3FC8">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drawing>
          <wp:inline distT="0" distB="0" distL="0" distR="0">
            <wp:extent cx="5721985" cy="1381760"/>
            <wp:effectExtent l="0" t="0" r="12065" b="8890"/>
            <wp:docPr id="92" name="Рисунок 92" descr="C:\Users\kgmuuser\AppData\Local\Temp\ksohtml7396\wps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Рисунок 92" descr="C:\Users\kgmuuser\AppData\Local\Temp\ksohtml7396\wps8.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5721985" cy="1381760"/>
                    </a:xfrm>
                    <a:prstGeom prst="rect">
                      <a:avLst/>
                    </a:prstGeom>
                    <a:noFill/>
                    <a:ln>
                      <a:noFill/>
                    </a:ln>
                  </pic:spPr>
                </pic:pic>
              </a:graphicData>
            </a:graphic>
          </wp:inline>
        </w:drawing>
      </w:r>
      <w:r>
        <w:rPr>
          <w:rFonts w:ascii="Times New Roman" w:hAnsi="Times New Roman" w:eastAsia="Times New Roman" w:cs="Times New Roman"/>
          <w:sz w:val="28"/>
          <w:szCs w:val="28"/>
          <w:lang w:eastAsia="ru-RU"/>
        </w:rPr>
        <w:t xml:space="preserve"> </w:t>
      </w:r>
    </w:p>
    <w:p w14:paraId="324DA649">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 </w:t>
      </w:r>
    </w:p>
    <w:p w14:paraId="67F1150F">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Ферритин</w:t>
      </w:r>
    </w:p>
    <w:p w14:paraId="26C1D8C9">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drawing>
          <wp:inline distT="0" distB="0" distL="0" distR="0">
            <wp:extent cx="5791200" cy="1419225"/>
            <wp:effectExtent l="0" t="0" r="0" b="9525"/>
            <wp:docPr id="93" name="Рисунок 93" descr="C:\Users\kgmuuser\AppData\Local\Temp\ksohtml7396\wps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Рисунок 93" descr="C:\Users\kgmuuser\AppData\Local\Temp\ksohtml7396\wps9.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5791200" cy="1419225"/>
                    </a:xfrm>
                    <a:prstGeom prst="rect">
                      <a:avLst/>
                    </a:prstGeom>
                    <a:noFill/>
                    <a:ln>
                      <a:noFill/>
                    </a:ln>
                  </pic:spPr>
                </pic:pic>
              </a:graphicData>
            </a:graphic>
          </wp:inline>
        </w:drawing>
      </w:r>
      <w:r>
        <w:rPr>
          <w:rFonts w:ascii="Times New Roman" w:hAnsi="Times New Roman" w:eastAsia="Times New Roman" w:cs="Times New Roman"/>
          <w:sz w:val="28"/>
          <w:szCs w:val="28"/>
          <w:lang w:eastAsia="ru-RU"/>
        </w:rPr>
        <w:t xml:space="preserve"> </w:t>
      </w:r>
    </w:p>
    <w:p w14:paraId="75A665EB">
      <w:pPr>
        <w:widowControl w:val="0"/>
        <w:autoSpaceDE w:val="0"/>
        <w:autoSpaceDN w:val="0"/>
        <w:spacing w:after="0" w:line="276" w:lineRule="auto"/>
        <w:ind w:firstLine="709"/>
        <w:jc w:val="both"/>
        <w:outlineLvl w:val="0"/>
        <w:rPr>
          <w:rFonts w:ascii="Times New Roman" w:hAnsi="Times New Roman" w:eastAsia="Times New Roman" w:cs="Times New Roman"/>
          <w:i/>
          <w:sz w:val="28"/>
          <w:szCs w:val="28"/>
          <w:lang w:eastAsia="ru-RU"/>
        </w:rPr>
      </w:pPr>
    </w:p>
    <w:p w14:paraId="0BA0CC7B">
      <w:pPr>
        <w:widowControl w:val="0"/>
        <w:autoSpaceDE w:val="0"/>
        <w:autoSpaceDN w:val="0"/>
        <w:spacing w:after="0" w:line="276" w:lineRule="auto"/>
        <w:ind w:firstLine="709"/>
        <w:jc w:val="both"/>
        <w:outlineLvl w:val="0"/>
        <w:rPr>
          <w:rFonts w:ascii="Times New Roman" w:hAnsi="Times New Roman" w:eastAsia="Times New Roman" w:cs="Times New Roman"/>
          <w:iCs/>
          <w:sz w:val="28"/>
          <w:szCs w:val="28"/>
          <w:lang w:eastAsia="ru-RU"/>
        </w:rPr>
      </w:pPr>
      <w:r>
        <w:rPr>
          <w:rFonts w:ascii="Times New Roman" w:hAnsi="Times New Roman" w:eastAsia="Times New Roman" w:cs="Times New Roman"/>
          <w:iCs/>
          <w:sz w:val="28"/>
          <w:szCs w:val="28"/>
          <w:lang w:eastAsia="ru-RU"/>
        </w:rPr>
        <w:t xml:space="preserve">Сурет – 4. Әрбір маркер үшін қосарланған сұйылту сериясын алуға дайындылған түтікшелер (Cloud–Clone Corporation нұсқаулығынан алынған, 2024 </w:t>
      </w:r>
      <w:r>
        <w:rPr>
          <w:rFonts w:ascii="Times New Roman" w:hAnsi="Times New Roman" w:eastAsia="Times New Roman" w:cs="Times New Roman"/>
          <w:iCs/>
          <w:color w:val="000000"/>
          <w:sz w:val="28"/>
          <w:szCs w:val="28"/>
          <w:lang w:eastAsia="ru-RU"/>
        </w:rPr>
        <w:t>[162]</w:t>
      </w:r>
      <w:r>
        <w:rPr>
          <w:rFonts w:ascii="Times New Roman" w:hAnsi="Times New Roman" w:eastAsia="Times New Roman" w:cs="Times New Roman"/>
          <w:iCs/>
          <w:sz w:val="28"/>
          <w:szCs w:val="28"/>
          <w:lang w:eastAsia="ru-RU"/>
        </w:rPr>
        <w:t>)</w:t>
      </w:r>
    </w:p>
    <w:p w14:paraId="32D13193">
      <w:pPr>
        <w:widowControl w:val="0"/>
        <w:autoSpaceDE w:val="0"/>
        <w:autoSpaceDN w:val="0"/>
        <w:spacing w:after="0" w:line="276" w:lineRule="auto"/>
        <w:ind w:firstLine="709"/>
        <w:jc w:val="both"/>
        <w:outlineLvl w:val="0"/>
        <w:rPr>
          <w:rFonts w:ascii="Times New Roman" w:hAnsi="Times New Roman" w:eastAsia="Times New Roman" w:cs="Times New Roman"/>
          <w:i/>
          <w:sz w:val="28"/>
          <w:szCs w:val="28"/>
          <w:lang w:eastAsia="ru-RU"/>
        </w:rPr>
      </w:pPr>
    </w:p>
    <w:p w14:paraId="1E67924C">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Келесі тасымалдау алдында әрбір түтікше реактивті жақсылап араластырылды. Кесте – 3 көрсетілгендей маркерлердің мөлшерлерін сұйылтылған стандарттың 7 нүктесіне орнатылды және соңғы EP түтіктері – Standard Diluent стандарты  0 pg/мл сияқты дайындама болып табылады.</w:t>
      </w:r>
    </w:p>
    <w:p w14:paraId="06642270">
      <w:pPr>
        <w:widowControl w:val="0"/>
        <w:autoSpaceDE w:val="0"/>
        <w:autoSpaceDN w:val="0"/>
        <w:spacing w:after="0" w:line="276" w:lineRule="auto"/>
        <w:ind w:firstLine="709"/>
        <w:jc w:val="both"/>
        <w:outlineLvl w:val="0"/>
        <w:rPr>
          <w:rFonts w:ascii="Times New Roman" w:hAnsi="Times New Roman" w:eastAsia="Times New Roman" w:cs="Times New Roman"/>
          <w:i/>
          <w:sz w:val="28"/>
          <w:szCs w:val="28"/>
          <w:lang w:eastAsia="ru-RU"/>
        </w:rPr>
      </w:pPr>
      <w:r>
        <w:rPr>
          <w:rFonts w:ascii="Times New Roman" w:hAnsi="Times New Roman" w:eastAsia="Times New Roman" w:cs="Times New Roman"/>
          <w:i/>
          <w:sz w:val="28"/>
          <w:szCs w:val="28"/>
          <w:lang w:eastAsia="ru-RU"/>
        </w:rPr>
        <w:t xml:space="preserve"> </w:t>
      </w:r>
    </w:p>
    <w:p w14:paraId="4A89D856">
      <w:pPr>
        <w:widowControl w:val="0"/>
        <w:autoSpaceDE w:val="0"/>
        <w:autoSpaceDN w:val="0"/>
        <w:spacing w:after="0" w:line="276" w:lineRule="auto"/>
        <w:ind w:firstLine="709"/>
        <w:jc w:val="both"/>
        <w:outlineLvl w:val="0"/>
        <w:rPr>
          <w:rFonts w:ascii="Times New Roman" w:hAnsi="Times New Roman" w:eastAsia="Times New Roman" w:cs="Times New Roman"/>
          <w:iCs/>
          <w:sz w:val="28"/>
          <w:szCs w:val="28"/>
          <w:lang w:eastAsia="ru-RU"/>
        </w:rPr>
      </w:pPr>
      <w:r>
        <w:rPr>
          <w:rFonts w:ascii="Times New Roman" w:hAnsi="Times New Roman" w:eastAsia="Times New Roman" w:cs="Times New Roman"/>
          <w:iCs/>
          <w:sz w:val="28"/>
          <w:szCs w:val="28"/>
          <w:lang w:eastAsia="ru-RU"/>
        </w:rPr>
        <w:t xml:space="preserve">Кесте – 3. Қосарланған сұйылту сериясын алу үшін әрбір түтікке маркерлердің мөлшері </w:t>
      </w:r>
    </w:p>
    <w:p w14:paraId="253D372E">
      <w:pPr>
        <w:widowControl w:val="0"/>
        <w:autoSpaceDE w:val="0"/>
        <w:autoSpaceDN w:val="0"/>
        <w:spacing w:after="0" w:line="276" w:lineRule="auto"/>
        <w:ind w:firstLine="709"/>
        <w:jc w:val="both"/>
        <w:outlineLvl w:val="0"/>
        <w:rPr>
          <w:rFonts w:ascii="Times New Roman" w:hAnsi="Times New Roman" w:eastAsia="Times New Roman" w:cs="Times New Roman"/>
          <w:iCs/>
          <w:sz w:val="28"/>
          <w:szCs w:val="28"/>
          <w:lang w:eastAsia="ru-RU"/>
        </w:rPr>
      </w:pPr>
    </w:p>
    <w:tbl>
      <w:tblPr>
        <w:tblStyle w:val="13"/>
        <w:tblW w:w="0" w:type="auto"/>
        <w:tblInd w:w="0" w:type="dxa"/>
        <w:tblLayout w:type="autofit"/>
        <w:tblCellMar>
          <w:top w:w="15" w:type="dxa"/>
          <w:left w:w="15" w:type="dxa"/>
          <w:bottom w:w="15" w:type="dxa"/>
          <w:right w:w="15" w:type="dxa"/>
        </w:tblCellMar>
      </w:tblPr>
      <w:tblGrid>
        <w:gridCol w:w="1899"/>
        <w:gridCol w:w="1069"/>
        <w:gridCol w:w="1069"/>
        <w:gridCol w:w="1069"/>
        <w:gridCol w:w="1069"/>
        <w:gridCol w:w="1070"/>
        <w:gridCol w:w="1070"/>
        <w:gridCol w:w="1070"/>
      </w:tblGrid>
      <w:tr w14:paraId="40856D38">
        <w:tblPrEx>
          <w:tblCellMar>
            <w:top w:w="15" w:type="dxa"/>
            <w:left w:w="15" w:type="dxa"/>
            <w:bottom w:w="15" w:type="dxa"/>
            <w:right w:w="15" w:type="dxa"/>
          </w:tblCellMar>
        </w:tblPrEx>
        <w:tc>
          <w:tcPr>
            <w:tcW w:w="1755" w:type="dxa"/>
            <w:tcBorders>
              <w:top w:val="outset" w:color="auto" w:sz="6" w:space="0"/>
              <w:left w:val="outset" w:color="auto" w:sz="6" w:space="0"/>
              <w:bottom w:val="outset" w:color="auto" w:sz="6" w:space="0"/>
              <w:right w:val="outset" w:color="auto" w:sz="6" w:space="0"/>
            </w:tcBorders>
          </w:tcPr>
          <w:p w14:paraId="387AB4AE">
            <w:pPr>
              <w:widowControl w:val="0"/>
              <w:autoSpaceDE w:val="0"/>
              <w:autoSpaceDN w:val="0"/>
              <w:spacing w:before="100" w:beforeAutospacing="0" w:after="0" w:afterAutospacing="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Маркерлер</w:t>
            </w:r>
          </w:p>
        </w:tc>
        <w:tc>
          <w:tcPr>
            <w:tcW w:w="1155" w:type="dxa"/>
            <w:tcBorders>
              <w:top w:val="outset" w:color="auto" w:sz="6" w:space="0"/>
              <w:left w:val="outset" w:color="auto" w:sz="6" w:space="0"/>
              <w:bottom w:val="outset" w:color="auto" w:sz="6" w:space="0"/>
              <w:right w:val="outset" w:color="auto" w:sz="6" w:space="0"/>
            </w:tcBorders>
          </w:tcPr>
          <w:p w14:paraId="5672504D">
            <w:pPr>
              <w:widowControl w:val="0"/>
              <w:autoSpaceDE w:val="0"/>
              <w:autoSpaceDN w:val="0"/>
              <w:spacing w:before="100" w:beforeAutospacing="0" w:after="0" w:afterAutospacing="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 xml:space="preserve">1 </w:t>
            </w:r>
            <w:r>
              <w:rPr>
                <w:rFonts w:ascii="Times New Roman" w:hAnsi="Times New Roman" w:eastAsia="Times New Roman" w:cs="Times New Roman"/>
                <w:sz w:val="28"/>
                <w:szCs w:val="28"/>
                <w:lang w:val="en-US"/>
              </w:rPr>
              <w:t>тү</w:t>
            </w:r>
            <w:r>
              <w:rPr>
                <w:rFonts w:ascii="Times New Roman" w:hAnsi="Times New Roman" w:eastAsia="Times New Roman" w:cs="Times New Roman"/>
                <w:sz w:val="28"/>
                <w:szCs w:val="28"/>
                <w:lang w:val="en-US" w:eastAsia="ru-RU"/>
              </w:rPr>
              <w:t>тікше</w:t>
            </w:r>
          </w:p>
          <w:p w14:paraId="7A7F72AF">
            <w:pPr>
              <w:widowControl w:val="0"/>
              <w:autoSpaceDE w:val="0"/>
              <w:autoSpaceDN w:val="0"/>
              <w:spacing w:before="100" w:beforeAutospacing="0" w:after="0" w:afterAutospacing="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пг/мл</w:t>
            </w:r>
          </w:p>
        </w:tc>
        <w:tc>
          <w:tcPr>
            <w:tcW w:w="1155" w:type="dxa"/>
            <w:tcBorders>
              <w:top w:val="outset" w:color="auto" w:sz="6" w:space="0"/>
              <w:left w:val="outset" w:color="auto" w:sz="6" w:space="0"/>
              <w:bottom w:val="outset" w:color="auto" w:sz="6" w:space="0"/>
              <w:right w:val="outset" w:color="auto" w:sz="6" w:space="0"/>
            </w:tcBorders>
          </w:tcPr>
          <w:p w14:paraId="065FA62E">
            <w:pPr>
              <w:widowControl w:val="0"/>
              <w:autoSpaceDE w:val="0"/>
              <w:autoSpaceDN w:val="0"/>
              <w:spacing w:before="100" w:beforeAutospacing="0" w:after="0" w:afterAutospacing="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2</w:t>
            </w:r>
            <w:r>
              <w:rPr>
                <w:rFonts w:ascii="Times New Roman" w:hAnsi="Times New Roman" w:eastAsia="Times New Roman" w:cs="Times New Roman"/>
                <w:sz w:val="28"/>
                <w:szCs w:val="28"/>
                <w:lang w:val="en-US"/>
              </w:rPr>
              <w:t xml:space="preserve"> тү</w:t>
            </w:r>
            <w:r>
              <w:rPr>
                <w:rFonts w:ascii="Times New Roman" w:hAnsi="Times New Roman" w:eastAsia="Times New Roman" w:cs="Times New Roman"/>
                <w:sz w:val="28"/>
                <w:szCs w:val="28"/>
                <w:lang w:val="en-US" w:eastAsia="ru-RU"/>
              </w:rPr>
              <w:t>тікше</w:t>
            </w:r>
          </w:p>
          <w:p w14:paraId="1E76D6E7">
            <w:pPr>
              <w:widowControl w:val="0"/>
              <w:autoSpaceDE w:val="0"/>
              <w:autoSpaceDN w:val="0"/>
              <w:spacing w:before="100" w:beforeAutospacing="0" w:after="0" w:afterAutospacing="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пг/мл</w:t>
            </w:r>
          </w:p>
        </w:tc>
        <w:tc>
          <w:tcPr>
            <w:tcW w:w="1155" w:type="dxa"/>
            <w:tcBorders>
              <w:top w:val="outset" w:color="auto" w:sz="6" w:space="0"/>
              <w:left w:val="outset" w:color="auto" w:sz="6" w:space="0"/>
              <w:bottom w:val="outset" w:color="auto" w:sz="6" w:space="0"/>
              <w:right w:val="outset" w:color="auto" w:sz="6" w:space="0"/>
            </w:tcBorders>
          </w:tcPr>
          <w:p w14:paraId="501F2B7E">
            <w:pPr>
              <w:widowControl w:val="0"/>
              <w:autoSpaceDE w:val="0"/>
              <w:autoSpaceDN w:val="0"/>
              <w:spacing w:before="100" w:beforeAutospacing="0" w:after="0" w:afterAutospacing="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3 түтікше</w:t>
            </w:r>
          </w:p>
          <w:p w14:paraId="56D456DD">
            <w:pPr>
              <w:widowControl w:val="0"/>
              <w:autoSpaceDE w:val="0"/>
              <w:autoSpaceDN w:val="0"/>
              <w:spacing w:before="100" w:beforeAutospacing="0" w:after="0" w:afterAutospacing="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пг/мл</w:t>
            </w:r>
          </w:p>
        </w:tc>
        <w:tc>
          <w:tcPr>
            <w:tcW w:w="1155" w:type="dxa"/>
            <w:tcBorders>
              <w:top w:val="outset" w:color="auto" w:sz="6" w:space="0"/>
              <w:left w:val="outset" w:color="auto" w:sz="6" w:space="0"/>
              <w:bottom w:val="outset" w:color="auto" w:sz="6" w:space="0"/>
              <w:right w:val="outset" w:color="auto" w:sz="6" w:space="0"/>
            </w:tcBorders>
          </w:tcPr>
          <w:p w14:paraId="2B15512D">
            <w:pPr>
              <w:widowControl w:val="0"/>
              <w:autoSpaceDE w:val="0"/>
              <w:autoSpaceDN w:val="0"/>
              <w:spacing w:before="100" w:beforeAutospacing="0" w:after="0" w:afterAutospacing="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4</w:t>
            </w:r>
            <w:r>
              <w:rPr>
                <w:rFonts w:ascii="Times New Roman" w:hAnsi="Times New Roman" w:eastAsia="Times New Roman" w:cs="Times New Roman"/>
                <w:sz w:val="28"/>
                <w:szCs w:val="28"/>
                <w:lang w:val="en-US"/>
              </w:rPr>
              <w:t xml:space="preserve"> тү</w:t>
            </w:r>
            <w:r>
              <w:rPr>
                <w:rFonts w:ascii="Times New Roman" w:hAnsi="Times New Roman" w:eastAsia="Times New Roman" w:cs="Times New Roman"/>
                <w:sz w:val="28"/>
                <w:szCs w:val="28"/>
                <w:lang w:val="en-US" w:eastAsia="ru-RU"/>
              </w:rPr>
              <w:t>тікше</w:t>
            </w:r>
          </w:p>
          <w:p w14:paraId="6BD7EC9C">
            <w:pPr>
              <w:widowControl w:val="0"/>
              <w:autoSpaceDE w:val="0"/>
              <w:autoSpaceDN w:val="0"/>
              <w:spacing w:before="100" w:beforeAutospacing="0" w:after="0" w:afterAutospacing="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пг/мл</w:t>
            </w:r>
          </w:p>
        </w:tc>
        <w:tc>
          <w:tcPr>
            <w:tcW w:w="1155" w:type="dxa"/>
            <w:tcBorders>
              <w:top w:val="outset" w:color="auto" w:sz="6" w:space="0"/>
              <w:left w:val="outset" w:color="auto" w:sz="6" w:space="0"/>
              <w:bottom w:val="outset" w:color="auto" w:sz="6" w:space="0"/>
              <w:right w:val="outset" w:color="auto" w:sz="6" w:space="0"/>
            </w:tcBorders>
          </w:tcPr>
          <w:p w14:paraId="559CFE87">
            <w:pPr>
              <w:widowControl w:val="0"/>
              <w:autoSpaceDE w:val="0"/>
              <w:autoSpaceDN w:val="0"/>
              <w:spacing w:before="100" w:beforeAutospacing="0" w:after="0" w:afterAutospacing="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5 түтікше</w:t>
            </w:r>
          </w:p>
          <w:p w14:paraId="02DD6394">
            <w:pPr>
              <w:widowControl w:val="0"/>
              <w:autoSpaceDE w:val="0"/>
              <w:autoSpaceDN w:val="0"/>
              <w:spacing w:before="100" w:beforeAutospacing="0" w:after="0" w:afterAutospacing="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пг/мл</w:t>
            </w:r>
          </w:p>
        </w:tc>
        <w:tc>
          <w:tcPr>
            <w:tcW w:w="1155" w:type="dxa"/>
            <w:tcBorders>
              <w:top w:val="outset" w:color="auto" w:sz="6" w:space="0"/>
              <w:left w:val="outset" w:color="auto" w:sz="6" w:space="0"/>
              <w:bottom w:val="outset" w:color="auto" w:sz="6" w:space="0"/>
              <w:right w:val="outset" w:color="auto" w:sz="6" w:space="0"/>
            </w:tcBorders>
          </w:tcPr>
          <w:p w14:paraId="0241D2C7">
            <w:pPr>
              <w:widowControl w:val="0"/>
              <w:autoSpaceDE w:val="0"/>
              <w:autoSpaceDN w:val="0"/>
              <w:spacing w:before="100" w:beforeAutospacing="0" w:after="0" w:afterAutospacing="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6 түтікше</w:t>
            </w:r>
          </w:p>
          <w:p w14:paraId="323FBDA4">
            <w:pPr>
              <w:widowControl w:val="0"/>
              <w:autoSpaceDE w:val="0"/>
              <w:autoSpaceDN w:val="0"/>
              <w:spacing w:before="100" w:beforeAutospacing="0" w:after="0" w:afterAutospacing="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пг/мл</w:t>
            </w:r>
          </w:p>
        </w:tc>
        <w:tc>
          <w:tcPr>
            <w:tcW w:w="1155" w:type="dxa"/>
            <w:tcBorders>
              <w:top w:val="outset" w:color="auto" w:sz="6" w:space="0"/>
              <w:left w:val="outset" w:color="auto" w:sz="6" w:space="0"/>
              <w:bottom w:val="outset" w:color="auto" w:sz="6" w:space="0"/>
              <w:right w:val="outset" w:color="auto" w:sz="6" w:space="0"/>
            </w:tcBorders>
          </w:tcPr>
          <w:p w14:paraId="525B0088">
            <w:pPr>
              <w:widowControl w:val="0"/>
              <w:autoSpaceDE w:val="0"/>
              <w:autoSpaceDN w:val="0"/>
              <w:spacing w:before="100" w:beforeAutospacing="0" w:after="0" w:afterAutospacing="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7</w:t>
            </w:r>
            <w:r>
              <w:rPr>
                <w:rFonts w:ascii="Times New Roman" w:hAnsi="Times New Roman" w:eastAsia="Times New Roman" w:cs="Times New Roman"/>
                <w:sz w:val="28"/>
                <w:szCs w:val="28"/>
                <w:lang w:val="en-US"/>
              </w:rPr>
              <w:t xml:space="preserve"> тү</w:t>
            </w:r>
            <w:r>
              <w:rPr>
                <w:rFonts w:ascii="Times New Roman" w:hAnsi="Times New Roman" w:eastAsia="Times New Roman" w:cs="Times New Roman"/>
                <w:sz w:val="28"/>
                <w:szCs w:val="28"/>
                <w:lang w:val="en-US" w:eastAsia="ru-RU"/>
              </w:rPr>
              <w:t>тікше</w:t>
            </w:r>
          </w:p>
          <w:p w14:paraId="0830504E">
            <w:pPr>
              <w:widowControl w:val="0"/>
              <w:autoSpaceDE w:val="0"/>
              <w:autoSpaceDN w:val="0"/>
              <w:spacing w:before="100" w:beforeAutospacing="0" w:after="0" w:afterAutospacing="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пг/мл</w:t>
            </w:r>
          </w:p>
        </w:tc>
      </w:tr>
      <w:tr w14:paraId="450E05C6">
        <w:tblPrEx>
          <w:tblCellMar>
            <w:top w:w="15" w:type="dxa"/>
            <w:left w:w="15" w:type="dxa"/>
            <w:bottom w:w="15" w:type="dxa"/>
            <w:right w:w="15" w:type="dxa"/>
          </w:tblCellMar>
        </w:tblPrEx>
        <w:tc>
          <w:tcPr>
            <w:tcW w:w="1755" w:type="dxa"/>
            <w:tcBorders>
              <w:top w:val="nil"/>
              <w:left w:val="outset" w:color="auto" w:sz="6" w:space="0"/>
              <w:bottom w:val="outset" w:color="auto" w:sz="6" w:space="0"/>
              <w:right w:val="outset" w:color="auto" w:sz="6" w:space="0"/>
            </w:tcBorders>
          </w:tcPr>
          <w:p w14:paraId="59BBCF9D">
            <w:pPr>
              <w:widowControl w:val="0"/>
              <w:autoSpaceDE w:val="0"/>
              <w:autoSpaceDN w:val="0"/>
              <w:spacing w:before="100" w:beforeAutospacing="0" w:after="0" w:afterAutospacing="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Гепсидин</w:t>
            </w:r>
          </w:p>
        </w:tc>
        <w:tc>
          <w:tcPr>
            <w:tcW w:w="1155" w:type="dxa"/>
            <w:tcBorders>
              <w:top w:val="nil"/>
              <w:left w:val="outset" w:color="auto" w:sz="6" w:space="0"/>
              <w:bottom w:val="outset" w:color="auto" w:sz="6" w:space="0"/>
              <w:right w:val="outset" w:color="auto" w:sz="6" w:space="0"/>
            </w:tcBorders>
          </w:tcPr>
          <w:p w14:paraId="1518A4D0">
            <w:pPr>
              <w:widowControl w:val="0"/>
              <w:autoSpaceDE w:val="0"/>
              <w:autoSpaceDN w:val="0"/>
              <w:spacing w:before="100" w:beforeAutospacing="0" w:after="0" w:afterAutospacing="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200</w:t>
            </w:r>
            <w:r>
              <w:rPr>
                <w:rFonts w:ascii="Times New Roman" w:hAnsi="Times New Roman" w:eastAsia="Times New Roman" w:cs="Times New Roman"/>
                <w:sz w:val="28"/>
                <w:szCs w:val="28"/>
                <w:lang w:val="en-US"/>
              </w:rPr>
              <w:t>000</w:t>
            </w:r>
          </w:p>
        </w:tc>
        <w:tc>
          <w:tcPr>
            <w:tcW w:w="1155" w:type="dxa"/>
            <w:tcBorders>
              <w:top w:val="nil"/>
              <w:left w:val="outset" w:color="auto" w:sz="6" w:space="0"/>
              <w:bottom w:val="outset" w:color="auto" w:sz="6" w:space="0"/>
              <w:right w:val="outset" w:color="auto" w:sz="6" w:space="0"/>
            </w:tcBorders>
          </w:tcPr>
          <w:p w14:paraId="6D776CD1">
            <w:pPr>
              <w:widowControl w:val="0"/>
              <w:autoSpaceDE w:val="0"/>
              <w:autoSpaceDN w:val="0"/>
              <w:spacing w:before="100" w:beforeAutospacing="0" w:after="0" w:afterAutospacing="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40000</w:t>
            </w:r>
          </w:p>
        </w:tc>
        <w:tc>
          <w:tcPr>
            <w:tcW w:w="1155" w:type="dxa"/>
            <w:tcBorders>
              <w:top w:val="nil"/>
              <w:left w:val="outset" w:color="auto" w:sz="6" w:space="0"/>
              <w:bottom w:val="outset" w:color="auto" w:sz="6" w:space="0"/>
              <w:right w:val="outset" w:color="auto" w:sz="6" w:space="0"/>
            </w:tcBorders>
          </w:tcPr>
          <w:p w14:paraId="1996830B">
            <w:pPr>
              <w:widowControl w:val="0"/>
              <w:autoSpaceDE w:val="0"/>
              <w:autoSpaceDN w:val="0"/>
              <w:spacing w:before="100" w:beforeAutospacing="0" w:after="0" w:afterAutospacing="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800</w:t>
            </w:r>
            <w:r>
              <w:rPr>
                <w:rFonts w:ascii="Times New Roman" w:hAnsi="Times New Roman" w:eastAsia="Times New Roman" w:cs="Times New Roman"/>
                <w:sz w:val="28"/>
                <w:szCs w:val="28"/>
                <w:lang w:val="en-US"/>
              </w:rPr>
              <w:t>0</w:t>
            </w:r>
          </w:p>
        </w:tc>
        <w:tc>
          <w:tcPr>
            <w:tcW w:w="1155" w:type="dxa"/>
            <w:tcBorders>
              <w:top w:val="nil"/>
              <w:left w:val="outset" w:color="auto" w:sz="6" w:space="0"/>
              <w:bottom w:val="outset" w:color="auto" w:sz="6" w:space="0"/>
              <w:right w:val="outset" w:color="auto" w:sz="6" w:space="0"/>
            </w:tcBorders>
          </w:tcPr>
          <w:p w14:paraId="3E2DECE0">
            <w:pPr>
              <w:widowControl w:val="0"/>
              <w:autoSpaceDE w:val="0"/>
              <w:autoSpaceDN w:val="0"/>
              <w:spacing w:before="100" w:beforeAutospacing="0" w:after="0" w:afterAutospacing="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1600</w:t>
            </w:r>
          </w:p>
        </w:tc>
        <w:tc>
          <w:tcPr>
            <w:tcW w:w="1155" w:type="dxa"/>
            <w:tcBorders>
              <w:top w:val="nil"/>
              <w:left w:val="outset" w:color="auto" w:sz="6" w:space="0"/>
              <w:bottom w:val="outset" w:color="auto" w:sz="6" w:space="0"/>
              <w:right w:val="outset" w:color="auto" w:sz="6" w:space="0"/>
            </w:tcBorders>
          </w:tcPr>
          <w:p w14:paraId="02E529D7">
            <w:pPr>
              <w:widowControl w:val="0"/>
              <w:autoSpaceDE w:val="0"/>
              <w:autoSpaceDN w:val="0"/>
              <w:spacing w:before="100" w:beforeAutospacing="0" w:after="0" w:afterAutospacing="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320</w:t>
            </w:r>
          </w:p>
        </w:tc>
        <w:tc>
          <w:tcPr>
            <w:tcW w:w="1155" w:type="dxa"/>
            <w:tcBorders>
              <w:top w:val="nil"/>
              <w:left w:val="outset" w:color="auto" w:sz="6" w:space="0"/>
              <w:bottom w:val="outset" w:color="auto" w:sz="6" w:space="0"/>
              <w:right w:val="outset" w:color="auto" w:sz="6" w:space="0"/>
            </w:tcBorders>
          </w:tcPr>
          <w:p w14:paraId="2C82D621">
            <w:pPr>
              <w:widowControl w:val="0"/>
              <w:autoSpaceDE w:val="0"/>
              <w:autoSpaceDN w:val="0"/>
              <w:spacing w:before="100" w:beforeAutospacing="0" w:after="0" w:afterAutospacing="0" w:line="276" w:lineRule="auto"/>
              <w:jc w:val="both"/>
              <w:outlineLvl w:val="0"/>
              <w:rPr>
                <w:rFonts w:ascii="Times New Roman" w:hAnsi="Times New Roman" w:eastAsia="Times New Roman" w:cs="Times New Roman"/>
                <w:sz w:val="28"/>
                <w:szCs w:val="28"/>
                <w:lang w:val="en-US" w:eastAsia="ru-RU"/>
              </w:rPr>
            </w:pPr>
          </w:p>
        </w:tc>
        <w:tc>
          <w:tcPr>
            <w:tcW w:w="1155" w:type="dxa"/>
            <w:tcBorders>
              <w:top w:val="nil"/>
              <w:left w:val="outset" w:color="auto" w:sz="6" w:space="0"/>
              <w:bottom w:val="outset" w:color="auto" w:sz="6" w:space="0"/>
              <w:right w:val="outset" w:color="auto" w:sz="6" w:space="0"/>
            </w:tcBorders>
          </w:tcPr>
          <w:p w14:paraId="325D6C3C">
            <w:pPr>
              <w:widowControl w:val="0"/>
              <w:autoSpaceDE w:val="0"/>
              <w:autoSpaceDN w:val="0"/>
              <w:spacing w:before="100" w:beforeAutospacing="0" w:after="0" w:afterAutospacing="0" w:line="276" w:lineRule="auto"/>
              <w:jc w:val="both"/>
              <w:outlineLvl w:val="0"/>
              <w:rPr>
                <w:rFonts w:ascii="Times New Roman" w:hAnsi="Times New Roman" w:eastAsia="Times New Roman" w:cs="Times New Roman"/>
                <w:sz w:val="28"/>
                <w:szCs w:val="28"/>
                <w:lang w:val="en-US" w:eastAsia="ru-RU"/>
              </w:rPr>
            </w:pPr>
          </w:p>
        </w:tc>
      </w:tr>
      <w:tr w14:paraId="385D3F85">
        <w:tblPrEx>
          <w:tblCellMar>
            <w:top w:w="15" w:type="dxa"/>
            <w:left w:w="15" w:type="dxa"/>
            <w:bottom w:w="15" w:type="dxa"/>
            <w:right w:w="15" w:type="dxa"/>
          </w:tblCellMar>
        </w:tblPrEx>
        <w:tc>
          <w:tcPr>
            <w:tcW w:w="1755" w:type="dxa"/>
            <w:tcBorders>
              <w:top w:val="nil"/>
              <w:left w:val="outset" w:color="auto" w:sz="6" w:space="0"/>
              <w:bottom w:val="outset" w:color="auto" w:sz="6" w:space="0"/>
              <w:right w:val="outset" w:color="auto" w:sz="6" w:space="0"/>
            </w:tcBorders>
          </w:tcPr>
          <w:p w14:paraId="46005DD0">
            <w:pPr>
              <w:widowControl w:val="0"/>
              <w:autoSpaceDE w:val="0"/>
              <w:autoSpaceDN w:val="0"/>
              <w:spacing w:before="100" w:beforeAutospacing="0" w:after="0" w:afterAutospacing="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Эритропоэтин</w:t>
            </w:r>
          </w:p>
        </w:tc>
        <w:tc>
          <w:tcPr>
            <w:tcW w:w="1155" w:type="dxa"/>
            <w:tcBorders>
              <w:top w:val="nil"/>
              <w:left w:val="outset" w:color="auto" w:sz="6" w:space="0"/>
              <w:bottom w:val="outset" w:color="auto" w:sz="6" w:space="0"/>
              <w:right w:val="outset" w:color="auto" w:sz="6" w:space="0"/>
            </w:tcBorders>
          </w:tcPr>
          <w:p w14:paraId="171BC916">
            <w:pPr>
              <w:widowControl w:val="0"/>
              <w:autoSpaceDE w:val="0"/>
              <w:autoSpaceDN w:val="0"/>
              <w:spacing w:before="100" w:beforeAutospacing="0" w:after="0" w:afterAutospacing="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2000</w:t>
            </w:r>
          </w:p>
        </w:tc>
        <w:tc>
          <w:tcPr>
            <w:tcW w:w="1155" w:type="dxa"/>
            <w:tcBorders>
              <w:top w:val="nil"/>
              <w:left w:val="outset" w:color="auto" w:sz="6" w:space="0"/>
              <w:bottom w:val="outset" w:color="auto" w:sz="6" w:space="0"/>
              <w:right w:val="outset" w:color="auto" w:sz="6" w:space="0"/>
            </w:tcBorders>
          </w:tcPr>
          <w:p w14:paraId="1FFE0046">
            <w:pPr>
              <w:widowControl w:val="0"/>
              <w:autoSpaceDE w:val="0"/>
              <w:autoSpaceDN w:val="0"/>
              <w:spacing w:before="100" w:beforeAutospacing="0" w:after="0" w:afterAutospacing="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1</w:t>
            </w:r>
            <w:r>
              <w:rPr>
                <w:rFonts w:ascii="Times New Roman" w:hAnsi="Times New Roman" w:eastAsia="Times New Roman" w:cs="Times New Roman"/>
                <w:sz w:val="28"/>
                <w:szCs w:val="28"/>
                <w:lang w:val="en-US"/>
              </w:rPr>
              <w:t>000</w:t>
            </w:r>
          </w:p>
        </w:tc>
        <w:tc>
          <w:tcPr>
            <w:tcW w:w="1155" w:type="dxa"/>
            <w:tcBorders>
              <w:top w:val="nil"/>
              <w:left w:val="outset" w:color="auto" w:sz="6" w:space="0"/>
              <w:bottom w:val="outset" w:color="auto" w:sz="6" w:space="0"/>
              <w:right w:val="outset" w:color="auto" w:sz="6" w:space="0"/>
            </w:tcBorders>
          </w:tcPr>
          <w:p w14:paraId="6E5D4881">
            <w:pPr>
              <w:widowControl w:val="0"/>
              <w:autoSpaceDE w:val="0"/>
              <w:autoSpaceDN w:val="0"/>
              <w:spacing w:before="100" w:beforeAutospacing="0" w:after="0" w:afterAutospacing="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5</w:t>
            </w:r>
            <w:r>
              <w:rPr>
                <w:rFonts w:ascii="Times New Roman" w:hAnsi="Times New Roman" w:eastAsia="Times New Roman" w:cs="Times New Roman"/>
                <w:sz w:val="28"/>
                <w:szCs w:val="28"/>
                <w:lang w:val="en-US"/>
              </w:rPr>
              <w:t>00</w:t>
            </w:r>
          </w:p>
        </w:tc>
        <w:tc>
          <w:tcPr>
            <w:tcW w:w="1155" w:type="dxa"/>
            <w:tcBorders>
              <w:top w:val="nil"/>
              <w:left w:val="outset" w:color="auto" w:sz="6" w:space="0"/>
              <w:bottom w:val="outset" w:color="auto" w:sz="6" w:space="0"/>
              <w:right w:val="outset" w:color="auto" w:sz="6" w:space="0"/>
            </w:tcBorders>
          </w:tcPr>
          <w:p w14:paraId="0BB37D38">
            <w:pPr>
              <w:widowControl w:val="0"/>
              <w:autoSpaceDE w:val="0"/>
              <w:autoSpaceDN w:val="0"/>
              <w:spacing w:before="100" w:beforeAutospacing="0" w:after="0" w:afterAutospacing="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2</w:t>
            </w:r>
            <w:r>
              <w:rPr>
                <w:rFonts w:ascii="Times New Roman" w:hAnsi="Times New Roman" w:eastAsia="Times New Roman" w:cs="Times New Roman"/>
                <w:sz w:val="28"/>
                <w:szCs w:val="28"/>
                <w:lang w:val="en-US"/>
              </w:rPr>
              <w:t>50</w:t>
            </w:r>
          </w:p>
        </w:tc>
        <w:tc>
          <w:tcPr>
            <w:tcW w:w="1155" w:type="dxa"/>
            <w:tcBorders>
              <w:top w:val="nil"/>
              <w:left w:val="outset" w:color="auto" w:sz="6" w:space="0"/>
              <w:bottom w:val="outset" w:color="auto" w:sz="6" w:space="0"/>
              <w:right w:val="outset" w:color="auto" w:sz="6" w:space="0"/>
            </w:tcBorders>
          </w:tcPr>
          <w:p w14:paraId="7FD786A9">
            <w:pPr>
              <w:widowControl w:val="0"/>
              <w:autoSpaceDE w:val="0"/>
              <w:autoSpaceDN w:val="0"/>
              <w:spacing w:before="100" w:beforeAutospacing="0" w:after="0" w:afterAutospacing="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1</w:t>
            </w:r>
            <w:r>
              <w:rPr>
                <w:rFonts w:ascii="Times New Roman" w:hAnsi="Times New Roman" w:eastAsia="Times New Roman" w:cs="Times New Roman"/>
                <w:sz w:val="28"/>
                <w:szCs w:val="28"/>
                <w:lang w:val="en-US"/>
              </w:rPr>
              <w:t>25</w:t>
            </w:r>
          </w:p>
        </w:tc>
        <w:tc>
          <w:tcPr>
            <w:tcW w:w="1155" w:type="dxa"/>
            <w:tcBorders>
              <w:top w:val="nil"/>
              <w:left w:val="outset" w:color="auto" w:sz="6" w:space="0"/>
              <w:bottom w:val="outset" w:color="auto" w:sz="6" w:space="0"/>
              <w:right w:val="outset" w:color="auto" w:sz="6" w:space="0"/>
            </w:tcBorders>
          </w:tcPr>
          <w:p w14:paraId="0A55FFE1">
            <w:pPr>
              <w:widowControl w:val="0"/>
              <w:autoSpaceDE w:val="0"/>
              <w:autoSpaceDN w:val="0"/>
              <w:spacing w:before="100" w:beforeAutospacing="0" w:after="0" w:afterAutospacing="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62</w:t>
            </w:r>
            <w:r>
              <w:rPr>
                <w:rFonts w:ascii="Times New Roman" w:hAnsi="Times New Roman" w:eastAsia="Times New Roman" w:cs="Times New Roman"/>
                <w:sz w:val="28"/>
                <w:szCs w:val="28"/>
                <w:lang w:val="en-US"/>
              </w:rPr>
              <w:t>.5</w:t>
            </w:r>
          </w:p>
        </w:tc>
        <w:tc>
          <w:tcPr>
            <w:tcW w:w="1155" w:type="dxa"/>
            <w:tcBorders>
              <w:top w:val="nil"/>
              <w:left w:val="outset" w:color="auto" w:sz="6" w:space="0"/>
              <w:bottom w:val="outset" w:color="auto" w:sz="6" w:space="0"/>
              <w:right w:val="outset" w:color="auto" w:sz="6" w:space="0"/>
            </w:tcBorders>
          </w:tcPr>
          <w:p w14:paraId="2045FF3B">
            <w:pPr>
              <w:widowControl w:val="0"/>
              <w:autoSpaceDE w:val="0"/>
              <w:autoSpaceDN w:val="0"/>
              <w:spacing w:before="100" w:beforeAutospacing="0" w:after="0" w:afterAutospacing="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31</w:t>
            </w:r>
            <w:r>
              <w:rPr>
                <w:rFonts w:ascii="Times New Roman" w:hAnsi="Times New Roman" w:eastAsia="Times New Roman" w:cs="Times New Roman"/>
                <w:sz w:val="28"/>
                <w:szCs w:val="28"/>
                <w:lang w:val="en-US"/>
              </w:rPr>
              <w:t>.2</w:t>
            </w:r>
          </w:p>
        </w:tc>
      </w:tr>
      <w:tr w14:paraId="3A67CB2B">
        <w:tblPrEx>
          <w:tblCellMar>
            <w:top w:w="15" w:type="dxa"/>
            <w:left w:w="15" w:type="dxa"/>
            <w:bottom w:w="15" w:type="dxa"/>
            <w:right w:w="15" w:type="dxa"/>
          </w:tblCellMar>
        </w:tblPrEx>
        <w:tc>
          <w:tcPr>
            <w:tcW w:w="1755" w:type="dxa"/>
            <w:tcBorders>
              <w:top w:val="nil"/>
              <w:left w:val="outset" w:color="auto" w:sz="6" w:space="0"/>
              <w:bottom w:val="outset" w:color="auto" w:sz="6" w:space="0"/>
              <w:right w:val="outset" w:color="auto" w:sz="6" w:space="0"/>
            </w:tcBorders>
          </w:tcPr>
          <w:p w14:paraId="6C5A96EC">
            <w:pPr>
              <w:widowControl w:val="0"/>
              <w:autoSpaceDE w:val="0"/>
              <w:autoSpaceDN w:val="0"/>
              <w:spacing w:before="100" w:beforeAutospacing="0" w:after="0" w:afterAutospacing="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Интерлейкин</w:t>
            </w:r>
            <w:r>
              <w:rPr>
                <w:rFonts w:ascii="Times New Roman" w:hAnsi="Times New Roman" w:eastAsia="Times New Roman" w:cs="Times New Roman"/>
                <w:sz w:val="28"/>
                <w:szCs w:val="28"/>
                <w:lang w:val="en-US"/>
              </w:rPr>
              <w:t>–6</w:t>
            </w:r>
          </w:p>
        </w:tc>
        <w:tc>
          <w:tcPr>
            <w:tcW w:w="1155" w:type="dxa"/>
            <w:tcBorders>
              <w:top w:val="nil"/>
              <w:left w:val="outset" w:color="auto" w:sz="6" w:space="0"/>
              <w:bottom w:val="outset" w:color="auto" w:sz="6" w:space="0"/>
              <w:right w:val="outset" w:color="auto" w:sz="6" w:space="0"/>
            </w:tcBorders>
          </w:tcPr>
          <w:p w14:paraId="6A5CD21E">
            <w:pPr>
              <w:widowControl w:val="0"/>
              <w:autoSpaceDE w:val="0"/>
              <w:autoSpaceDN w:val="0"/>
              <w:spacing w:before="100" w:beforeAutospacing="0" w:after="0" w:afterAutospacing="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50</w:t>
            </w:r>
          </w:p>
        </w:tc>
        <w:tc>
          <w:tcPr>
            <w:tcW w:w="1155" w:type="dxa"/>
            <w:tcBorders>
              <w:top w:val="nil"/>
              <w:left w:val="outset" w:color="auto" w:sz="6" w:space="0"/>
              <w:bottom w:val="outset" w:color="auto" w:sz="6" w:space="0"/>
              <w:right w:val="outset" w:color="auto" w:sz="6" w:space="0"/>
            </w:tcBorders>
          </w:tcPr>
          <w:p w14:paraId="05F5C8CE">
            <w:pPr>
              <w:widowControl w:val="0"/>
              <w:autoSpaceDE w:val="0"/>
              <w:autoSpaceDN w:val="0"/>
              <w:spacing w:before="100" w:beforeAutospacing="0" w:after="0" w:afterAutospacing="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25</w:t>
            </w:r>
          </w:p>
        </w:tc>
        <w:tc>
          <w:tcPr>
            <w:tcW w:w="1155" w:type="dxa"/>
            <w:tcBorders>
              <w:top w:val="nil"/>
              <w:left w:val="outset" w:color="auto" w:sz="6" w:space="0"/>
              <w:bottom w:val="outset" w:color="auto" w:sz="6" w:space="0"/>
              <w:right w:val="outset" w:color="auto" w:sz="6" w:space="0"/>
            </w:tcBorders>
          </w:tcPr>
          <w:p w14:paraId="41253CA2">
            <w:pPr>
              <w:widowControl w:val="0"/>
              <w:autoSpaceDE w:val="0"/>
              <w:autoSpaceDN w:val="0"/>
              <w:spacing w:before="100" w:beforeAutospacing="0" w:after="0" w:afterAutospacing="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12,5</w:t>
            </w:r>
          </w:p>
        </w:tc>
        <w:tc>
          <w:tcPr>
            <w:tcW w:w="1155" w:type="dxa"/>
            <w:tcBorders>
              <w:top w:val="nil"/>
              <w:left w:val="outset" w:color="auto" w:sz="6" w:space="0"/>
              <w:bottom w:val="outset" w:color="auto" w:sz="6" w:space="0"/>
              <w:right w:val="outset" w:color="auto" w:sz="6" w:space="0"/>
            </w:tcBorders>
          </w:tcPr>
          <w:p w14:paraId="4C93FCBA">
            <w:pPr>
              <w:widowControl w:val="0"/>
              <w:autoSpaceDE w:val="0"/>
              <w:autoSpaceDN w:val="0"/>
              <w:spacing w:before="100" w:beforeAutospacing="0" w:after="0" w:afterAutospacing="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6,25</w:t>
            </w:r>
          </w:p>
        </w:tc>
        <w:tc>
          <w:tcPr>
            <w:tcW w:w="1155" w:type="dxa"/>
            <w:tcBorders>
              <w:top w:val="nil"/>
              <w:left w:val="outset" w:color="auto" w:sz="6" w:space="0"/>
              <w:bottom w:val="outset" w:color="auto" w:sz="6" w:space="0"/>
              <w:right w:val="outset" w:color="auto" w:sz="6" w:space="0"/>
            </w:tcBorders>
          </w:tcPr>
          <w:p w14:paraId="6453384C">
            <w:pPr>
              <w:widowControl w:val="0"/>
              <w:autoSpaceDE w:val="0"/>
              <w:autoSpaceDN w:val="0"/>
              <w:spacing w:before="100" w:beforeAutospacing="0" w:after="0" w:afterAutospacing="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3,12</w:t>
            </w:r>
          </w:p>
        </w:tc>
        <w:tc>
          <w:tcPr>
            <w:tcW w:w="1155" w:type="dxa"/>
            <w:tcBorders>
              <w:top w:val="nil"/>
              <w:left w:val="outset" w:color="auto" w:sz="6" w:space="0"/>
              <w:bottom w:val="outset" w:color="auto" w:sz="6" w:space="0"/>
              <w:right w:val="outset" w:color="auto" w:sz="6" w:space="0"/>
            </w:tcBorders>
          </w:tcPr>
          <w:p w14:paraId="67A39572">
            <w:pPr>
              <w:widowControl w:val="0"/>
              <w:autoSpaceDE w:val="0"/>
              <w:autoSpaceDN w:val="0"/>
              <w:spacing w:before="100" w:beforeAutospacing="0" w:after="0" w:afterAutospacing="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1,56</w:t>
            </w:r>
          </w:p>
        </w:tc>
        <w:tc>
          <w:tcPr>
            <w:tcW w:w="1155" w:type="dxa"/>
            <w:tcBorders>
              <w:top w:val="nil"/>
              <w:left w:val="outset" w:color="auto" w:sz="6" w:space="0"/>
              <w:bottom w:val="outset" w:color="auto" w:sz="6" w:space="0"/>
              <w:right w:val="outset" w:color="auto" w:sz="6" w:space="0"/>
            </w:tcBorders>
          </w:tcPr>
          <w:p w14:paraId="09A92E74">
            <w:pPr>
              <w:widowControl w:val="0"/>
              <w:autoSpaceDE w:val="0"/>
              <w:autoSpaceDN w:val="0"/>
              <w:spacing w:before="100" w:beforeAutospacing="0" w:after="0" w:afterAutospacing="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0</w:t>
            </w:r>
            <w:r>
              <w:rPr>
                <w:rFonts w:ascii="Times New Roman" w:hAnsi="Times New Roman" w:eastAsia="Times New Roman" w:cs="Times New Roman"/>
                <w:sz w:val="28"/>
                <w:szCs w:val="28"/>
                <w:lang w:val="en-US"/>
              </w:rPr>
              <w:t>,78</w:t>
            </w:r>
          </w:p>
        </w:tc>
      </w:tr>
      <w:tr w14:paraId="0F1C2FDE">
        <w:tblPrEx>
          <w:tblCellMar>
            <w:top w:w="15" w:type="dxa"/>
            <w:left w:w="15" w:type="dxa"/>
            <w:bottom w:w="15" w:type="dxa"/>
            <w:right w:w="15" w:type="dxa"/>
          </w:tblCellMar>
        </w:tblPrEx>
        <w:tc>
          <w:tcPr>
            <w:tcW w:w="1755" w:type="dxa"/>
            <w:tcBorders>
              <w:top w:val="nil"/>
              <w:left w:val="outset" w:color="auto" w:sz="6" w:space="0"/>
              <w:bottom w:val="outset" w:color="auto" w:sz="6" w:space="0"/>
              <w:right w:val="outset" w:color="auto" w:sz="6" w:space="0"/>
            </w:tcBorders>
          </w:tcPr>
          <w:p w14:paraId="3AE9FED9">
            <w:pPr>
              <w:widowControl w:val="0"/>
              <w:autoSpaceDE w:val="0"/>
              <w:autoSpaceDN w:val="0"/>
              <w:spacing w:before="100" w:beforeAutospacing="0" w:after="0" w:afterAutospacing="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C–</w:t>
            </w:r>
            <w:r>
              <w:rPr>
                <w:rFonts w:ascii="Times New Roman" w:hAnsi="Times New Roman" w:eastAsia="Times New Roman" w:cs="Times New Roman"/>
                <w:sz w:val="28"/>
                <w:szCs w:val="28"/>
                <w:lang w:val="en-US"/>
              </w:rPr>
              <w:t>реактивті ақ</w:t>
            </w:r>
            <w:r>
              <w:rPr>
                <w:rFonts w:ascii="Times New Roman" w:hAnsi="Times New Roman" w:eastAsia="Times New Roman" w:cs="Times New Roman"/>
                <w:sz w:val="28"/>
                <w:szCs w:val="28"/>
                <w:lang w:val="en-US" w:eastAsia="ru-RU"/>
              </w:rPr>
              <w:t>уыз</w:t>
            </w:r>
          </w:p>
        </w:tc>
        <w:tc>
          <w:tcPr>
            <w:tcW w:w="1155" w:type="dxa"/>
            <w:tcBorders>
              <w:top w:val="nil"/>
              <w:left w:val="outset" w:color="auto" w:sz="6" w:space="0"/>
              <w:bottom w:val="outset" w:color="auto" w:sz="6" w:space="0"/>
              <w:right w:val="outset" w:color="auto" w:sz="6" w:space="0"/>
            </w:tcBorders>
          </w:tcPr>
          <w:p w14:paraId="3DE29696">
            <w:pPr>
              <w:widowControl w:val="0"/>
              <w:autoSpaceDE w:val="0"/>
              <w:autoSpaceDN w:val="0"/>
              <w:spacing w:before="100" w:beforeAutospacing="0" w:after="0" w:afterAutospacing="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20</w:t>
            </w:r>
          </w:p>
        </w:tc>
        <w:tc>
          <w:tcPr>
            <w:tcW w:w="1155" w:type="dxa"/>
            <w:tcBorders>
              <w:top w:val="nil"/>
              <w:left w:val="outset" w:color="auto" w:sz="6" w:space="0"/>
              <w:bottom w:val="outset" w:color="auto" w:sz="6" w:space="0"/>
              <w:right w:val="outset" w:color="auto" w:sz="6" w:space="0"/>
            </w:tcBorders>
          </w:tcPr>
          <w:p w14:paraId="38B7C478">
            <w:pPr>
              <w:widowControl w:val="0"/>
              <w:autoSpaceDE w:val="0"/>
              <w:autoSpaceDN w:val="0"/>
              <w:spacing w:before="100" w:beforeAutospacing="0" w:after="0" w:afterAutospacing="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10</w:t>
            </w:r>
          </w:p>
        </w:tc>
        <w:tc>
          <w:tcPr>
            <w:tcW w:w="1155" w:type="dxa"/>
            <w:tcBorders>
              <w:top w:val="nil"/>
              <w:left w:val="outset" w:color="auto" w:sz="6" w:space="0"/>
              <w:bottom w:val="outset" w:color="auto" w:sz="6" w:space="0"/>
              <w:right w:val="outset" w:color="auto" w:sz="6" w:space="0"/>
            </w:tcBorders>
          </w:tcPr>
          <w:p w14:paraId="7CF91079">
            <w:pPr>
              <w:widowControl w:val="0"/>
              <w:autoSpaceDE w:val="0"/>
              <w:autoSpaceDN w:val="0"/>
              <w:spacing w:before="100" w:beforeAutospacing="0" w:after="0" w:afterAutospacing="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5</w:t>
            </w:r>
          </w:p>
        </w:tc>
        <w:tc>
          <w:tcPr>
            <w:tcW w:w="1155" w:type="dxa"/>
            <w:tcBorders>
              <w:top w:val="nil"/>
              <w:left w:val="outset" w:color="auto" w:sz="6" w:space="0"/>
              <w:bottom w:val="outset" w:color="auto" w:sz="6" w:space="0"/>
              <w:right w:val="outset" w:color="auto" w:sz="6" w:space="0"/>
            </w:tcBorders>
          </w:tcPr>
          <w:p w14:paraId="79F9ECD6">
            <w:pPr>
              <w:widowControl w:val="0"/>
              <w:autoSpaceDE w:val="0"/>
              <w:autoSpaceDN w:val="0"/>
              <w:spacing w:before="100" w:beforeAutospacing="0" w:after="0" w:afterAutospacing="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2,5</w:t>
            </w:r>
          </w:p>
        </w:tc>
        <w:tc>
          <w:tcPr>
            <w:tcW w:w="1155" w:type="dxa"/>
            <w:tcBorders>
              <w:top w:val="nil"/>
              <w:left w:val="outset" w:color="auto" w:sz="6" w:space="0"/>
              <w:bottom w:val="outset" w:color="auto" w:sz="6" w:space="0"/>
              <w:right w:val="outset" w:color="auto" w:sz="6" w:space="0"/>
            </w:tcBorders>
          </w:tcPr>
          <w:p w14:paraId="03FFC9C1">
            <w:pPr>
              <w:widowControl w:val="0"/>
              <w:autoSpaceDE w:val="0"/>
              <w:autoSpaceDN w:val="0"/>
              <w:spacing w:before="100" w:beforeAutospacing="0" w:after="0" w:afterAutospacing="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1,25</w:t>
            </w:r>
          </w:p>
        </w:tc>
        <w:tc>
          <w:tcPr>
            <w:tcW w:w="1155" w:type="dxa"/>
            <w:tcBorders>
              <w:top w:val="nil"/>
              <w:left w:val="outset" w:color="auto" w:sz="6" w:space="0"/>
              <w:bottom w:val="outset" w:color="auto" w:sz="6" w:space="0"/>
              <w:right w:val="outset" w:color="auto" w:sz="6" w:space="0"/>
            </w:tcBorders>
          </w:tcPr>
          <w:p w14:paraId="06EB95E8">
            <w:pPr>
              <w:widowControl w:val="0"/>
              <w:autoSpaceDE w:val="0"/>
              <w:autoSpaceDN w:val="0"/>
              <w:spacing w:before="100" w:beforeAutospacing="0" w:after="0" w:afterAutospacing="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0.625</w:t>
            </w:r>
          </w:p>
        </w:tc>
        <w:tc>
          <w:tcPr>
            <w:tcW w:w="1155" w:type="dxa"/>
            <w:tcBorders>
              <w:top w:val="nil"/>
              <w:left w:val="outset" w:color="auto" w:sz="6" w:space="0"/>
              <w:bottom w:val="outset" w:color="auto" w:sz="6" w:space="0"/>
              <w:right w:val="outset" w:color="auto" w:sz="6" w:space="0"/>
            </w:tcBorders>
          </w:tcPr>
          <w:p w14:paraId="16E29FE1">
            <w:pPr>
              <w:widowControl w:val="0"/>
              <w:autoSpaceDE w:val="0"/>
              <w:autoSpaceDN w:val="0"/>
              <w:spacing w:before="100" w:beforeAutospacing="0" w:after="0" w:afterAutospacing="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0.312</w:t>
            </w:r>
          </w:p>
        </w:tc>
      </w:tr>
      <w:tr w14:paraId="43D7DFBB">
        <w:tblPrEx>
          <w:tblCellMar>
            <w:top w:w="15" w:type="dxa"/>
            <w:left w:w="15" w:type="dxa"/>
            <w:bottom w:w="15" w:type="dxa"/>
            <w:right w:w="15" w:type="dxa"/>
          </w:tblCellMar>
        </w:tblPrEx>
        <w:tc>
          <w:tcPr>
            <w:tcW w:w="1755" w:type="dxa"/>
            <w:tcBorders>
              <w:top w:val="nil"/>
              <w:left w:val="outset" w:color="auto" w:sz="6" w:space="0"/>
              <w:bottom w:val="outset" w:color="auto" w:sz="6" w:space="0"/>
              <w:right w:val="outset" w:color="auto" w:sz="6" w:space="0"/>
            </w:tcBorders>
          </w:tcPr>
          <w:p w14:paraId="476502CF">
            <w:pPr>
              <w:widowControl w:val="0"/>
              <w:autoSpaceDE w:val="0"/>
              <w:autoSpaceDN w:val="0"/>
              <w:spacing w:before="100" w:beforeAutospacing="0" w:after="0" w:afterAutospacing="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Ферритин</w:t>
            </w:r>
          </w:p>
        </w:tc>
        <w:tc>
          <w:tcPr>
            <w:tcW w:w="1155" w:type="dxa"/>
            <w:tcBorders>
              <w:top w:val="nil"/>
              <w:left w:val="outset" w:color="auto" w:sz="6" w:space="0"/>
              <w:bottom w:val="outset" w:color="auto" w:sz="6" w:space="0"/>
              <w:right w:val="outset" w:color="auto" w:sz="6" w:space="0"/>
            </w:tcBorders>
          </w:tcPr>
          <w:p w14:paraId="09298AA8">
            <w:pPr>
              <w:widowControl w:val="0"/>
              <w:autoSpaceDE w:val="0"/>
              <w:autoSpaceDN w:val="0"/>
              <w:spacing w:before="100" w:beforeAutospacing="0" w:after="0" w:afterAutospacing="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10</w:t>
            </w:r>
          </w:p>
        </w:tc>
        <w:tc>
          <w:tcPr>
            <w:tcW w:w="1155" w:type="dxa"/>
            <w:tcBorders>
              <w:top w:val="nil"/>
              <w:left w:val="outset" w:color="auto" w:sz="6" w:space="0"/>
              <w:bottom w:val="outset" w:color="auto" w:sz="6" w:space="0"/>
              <w:right w:val="outset" w:color="auto" w:sz="6" w:space="0"/>
            </w:tcBorders>
          </w:tcPr>
          <w:p w14:paraId="19B8FF23">
            <w:pPr>
              <w:widowControl w:val="0"/>
              <w:autoSpaceDE w:val="0"/>
              <w:autoSpaceDN w:val="0"/>
              <w:spacing w:before="100" w:beforeAutospacing="0" w:after="0" w:afterAutospacing="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5</w:t>
            </w:r>
          </w:p>
        </w:tc>
        <w:tc>
          <w:tcPr>
            <w:tcW w:w="1155" w:type="dxa"/>
            <w:tcBorders>
              <w:top w:val="nil"/>
              <w:left w:val="outset" w:color="auto" w:sz="6" w:space="0"/>
              <w:bottom w:val="outset" w:color="auto" w:sz="6" w:space="0"/>
              <w:right w:val="outset" w:color="auto" w:sz="6" w:space="0"/>
            </w:tcBorders>
          </w:tcPr>
          <w:p w14:paraId="6920ACB7">
            <w:pPr>
              <w:widowControl w:val="0"/>
              <w:autoSpaceDE w:val="0"/>
              <w:autoSpaceDN w:val="0"/>
              <w:spacing w:before="100" w:beforeAutospacing="0" w:after="0" w:afterAutospacing="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2.5</w:t>
            </w:r>
          </w:p>
        </w:tc>
        <w:tc>
          <w:tcPr>
            <w:tcW w:w="1155" w:type="dxa"/>
            <w:tcBorders>
              <w:top w:val="nil"/>
              <w:left w:val="outset" w:color="auto" w:sz="6" w:space="0"/>
              <w:bottom w:val="outset" w:color="auto" w:sz="6" w:space="0"/>
              <w:right w:val="outset" w:color="auto" w:sz="6" w:space="0"/>
            </w:tcBorders>
          </w:tcPr>
          <w:p w14:paraId="258EE1DE">
            <w:pPr>
              <w:widowControl w:val="0"/>
              <w:autoSpaceDE w:val="0"/>
              <w:autoSpaceDN w:val="0"/>
              <w:spacing w:before="100" w:beforeAutospacing="0" w:after="0" w:afterAutospacing="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1.25</w:t>
            </w:r>
          </w:p>
        </w:tc>
        <w:tc>
          <w:tcPr>
            <w:tcW w:w="1155" w:type="dxa"/>
            <w:tcBorders>
              <w:top w:val="nil"/>
              <w:left w:val="outset" w:color="auto" w:sz="6" w:space="0"/>
              <w:bottom w:val="outset" w:color="auto" w:sz="6" w:space="0"/>
              <w:right w:val="outset" w:color="auto" w:sz="6" w:space="0"/>
            </w:tcBorders>
          </w:tcPr>
          <w:p w14:paraId="757BBF03">
            <w:pPr>
              <w:widowControl w:val="0"/>
              <w:autoSpaceDE w:val="0"/>
              <w:autoSpaceDN w:val="0"/>
              <w:spacing w:before="100" w:beforeAutospacing="0" w:after="0" w:afterAutospacing="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0.625</w:t>
            </w:r>
          </w:p>
        </w:tc>
        <w:tc>
          <w:tcPr>
            <w:tcW w:w="1155" w:type="dxa"/>
            <w:tcBorders>
              <w:top w:val="nil"/>
              <w:left w:val="outset" w:color="auto" w:sz="6" w:space="0"/>
              <w:bottom w:val="outset" w:color="auto" w:sz="6" w:space="0"/>
              <w:right w:val="outset" w:color="auto" w:sz="6" w:space="0"/>
            </w:tcBorders>
          </w:tcPr>
          <w:p w14:paraId="275BCD3A">
            <w:pPr>
              <w:widowControl w:val="0"/>
              <w:autoSpaceDE w:val="0"/>
              <w:autoSpaceDN w:val="0"/>
              <w:spacing w:before="100" w:beforeAutospacing="0" w:after="0" w:afterAutospacing="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0.312</w:t>
            </w:r>
          </w:p>
        </w:tc>
        <w:tc>
          <w:tcPr>
            <w:tcW w:w="1155" w:type="dxa"/>
            <w:tcBorders>
              <w:top w:val="nil"/>
              <w:left w:val="outset" w:color="auto" w:sz="6" w:space="0"/>
              <w:bottom w:val="outset" w:color="auto" w:sz="6" w:space="0"/>
              <w:right w:val="outset" w:color="auto" w:sz="6" w:space="0"/>
            </w:tcBorders>
          </w:tcPr>
          <w:p w14:paraId="07DCFCB8">
            <w:pPr>
              <w:widowControl w:val="0"/>
              <w:autoSpaceDE w:val="0"/>
              <w:autoSpaceDN w:val="0"/>
              <w:spacing w:before="100" w:beforeAutospacing="0" w:after="0" w:afterAutospacing="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0.156</w:t>
            </w:r>
          </w:p>
        </w:tc>
      </w:tr>
    </w:tbl>
    <w:p w14:paraId="4BAEEE50">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 </w:t>
      </w:r>
    </w:p>
    <w:p w14:paraId="10F943B0">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3. A анықтау реагенті және B анықтау реагенті – қолданар алдында Detection A және Detection B қоры қысқаша айналдырылды немесе центрифугаланды. Олар A and B Assay еріткішімен тиісінше 100 есе жұмыс концентрациясына дейін сұйылтылды.</w:t>
      </w:r>
    </w:p>
    <w:p w14:paraId="45A67B7F">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4. Жуу ерітіндісі – 600 мл жуу ерітіндісін (1×) дайындау үшін 20 мл жуу ерітіндісінің концентратын (30 ×) 580 мл деионизацияланған немесе тазартылған сумен сұйылтылды. </w:t>
      </w:r>
    </w:p>
    <w:p w14:paraId="1EDC98B2">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5. TMB субстраты – стерильденген ұштармен ерітіндінің қажетті дозасын сорып алынды және құтыға қалдық ерітіндіні қайтадан төгіп алынбады.</w:t>
      </w:r>
    </w:p>
    <w:p w14:paraId="0FDAAB2D">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Сақталған ережелер:</w:t>
      </w:r>
    </w:p>
    <w:p w14:paraId="52E58DE6">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1.  Тікелей ұңғымаларда сериялық сұйылту жүргізілмеді;</w:t>
      </w:r>
    </w:p>
    <w:p w14:paraId="4B81A55E">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2. Талдау алдында 15 минут ішінде стандарттар дайындап алынды. Реагенттерді 37</w:t>
      </w:r>
      <w:r>
        <w:rPr>
          <w:rFonts w:ascii="Times New Roman" w:hAnsi="Times New Roman" w:eastAsia="Times New Roman" w:cs="Times New Roman"/>
          <w:sz w:val="28"/>
          <w:szCs w:val="28"/>
          <w:vertAlign w:val="superscript"/>
          <w:lang w:eastAsia="ru-RU"/>
        </w:rPr>
        <w:t>o</w:t>
      </w:r>
      <w:r>
        <w:rPr>
          <w:rFonts w:ascii="Times New Roman" w:hAnsi="Times New Roman" w:eastAsia="Times New Roman" w:cs="Times New Roman"/>
          <w:sz w:val="28"/>
          <w:szCs w:val="28"/>
          <w:lang w:eastAsia="ru-RU"/>
        </w:rPr>
        <w:t>C тікелей ерітілмеді;</w:t>
      </w:r>
    </w:p>
    <w:p w14:paraId="47B1E7CE">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3. Нұсқауларға сәйкес Стандарттарға немесе жұмыс істейтін анықтау реагенті A және B мұқият қайта қалпына келтіріліп және көбіктенуді болдырмау қадағаланды және кристалдар толығымен ерігенше ақырын араластырылды. Тамшуырлаудан болатын дәлсіздікті азайту үшін шағын көлемдер пайдаланылып және тамшуырлардың калибрленгеніне көз жеткізілді. Бір тамшуыр үшін 10 мкл–ден артық сору ұсынылды;</w:t>
      </w:r>
    </w:p>
    <w:p w14:paraId="0F16AFD1">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4. Қалпына келтірілген Стандарттар, А анықтау реагенті және B анықтау реагентін бір рет қана пайдаланылды; </w:t>
      </w:r>
    </w:p>
    <w:p w14:paraId="7463A091">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5. Егер жуу ерітіндісінің концентратында кристалдар пайда болса, бөлме температурасына дейін жылытылып және кристалдар толығымен ерігенше араластырылды;</w:t>
      </w:r>
    </w:p>
    <w:p w14:paraId="2D13CAFF">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6. Ластанған су немесе реагент дайындауға арналған контейнер анықтау нәтижесіне әсер ететіндіктен ауыстырылып отырды;</w:t>
      </w:r>
    </w:p>
    <w:p w14:paraId="6B5F56E6">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 </w:t>
      </w:r>
    </w:p>
    <w:p w14:paraId="4395B396">
      <w:pPr>
        <w:widowControl w:val="0"/>
        <w:autoSpaceDE w:val="0"/>
        <w:autoSpaceDN w:val="0"/>
        <w:spacing w:after="0" w:line="276" w:lineRule="auto"/>
        <w:ind w:firstLine="709"/>
        <w:jc w:val="both"/>
        <w:outlineLvl w:val="0"/>
        <w:rPr>
          <w:rFonts w:ascii="Times New Roman" w:hAnsi="Times New Roman" w:eastAsia="Times New Roman" w:cs="Times New Roman"/>
          <w:b/>
          <w:iCs/>
          <w:color w:val="000000"/>
          <w:sz w:val="28"/>
          <w:szCs w:val="28"/>
          <w:lang w:eastAsia="ru-RU"/>
        </w:rPr>
      </w:pPr>
      <w:r>
        <w:rPr>
          <w:rFonts w:ascii="Times New Roman" w:hAnsi="Times New Roman" w:eastAsia="Times New Roman" w:cs="Times New Roman"/>
          <w:b/>
          <w:sz w:val="28"/>
          <w:szCs w:val="28"/>
          <w:lang w:eastAsia="ru-RU"/>
        </w:rPr>
        <w:t xml:space="preserve">2.4.3 </w:t>
      </w:r>
      <w:r>
        <w:rPr>
          <w:rFonts w:ascii="Times New Roman" w:hAnsi="Times New Roman" w:eastAsia="Times New Roman" w:cs="Times New Roman"/>
          <w:b/>
          <w:iCs/>
          <w:color w:val="000000"/>
          <w:sz w:val="28"/>
          <w:szCs w:val="28"/>
          <w:lang w:eastAsia="ru-RU"/>
        </w:rPr>
        <w:t>Үлгіні дайындап алу</w:t>
      </w:r>
    </w:p>
    <w:p w14:paraId="6117490C">
      <w:pPr>
        <w:widowControl w:val="0"/>
        <w:autoSpaceDE w:val="0"/>
        <w:autoSpaceDN w:val="0"/>
        <w:spacing w:after="0" w:line="276" w:lineRule="auto"/>
        <w:ind w:firstLine="709"/>
        <w:jc w:val="both"/>
        <w:outlineLvl w:val="0"/>
        <w:rPr>
          <w:rFonts w:ascii="Times New Roman" w:hAnsi="Times New Roman" w:eastAsia="Times New Roman" w:cs="Times New Roman"/>
          <w:b/>
          <w:iCs/>
          <w:color w:val="000000"/>
          <w:sz w:val="28"/>
          <w:szCs w:val="28"/>
          <w:lang w:eastAsia="ru-RU"/>
        </w:rPr>
      </w:pPr>
      <w:r>
        <w:rPr>
          <w:rFonts w:ascii="Times New Roman" w:hAnsi="Times New Roman" w:eastAsia="Times New Roman" w:cs="Times New Roman"/>
          <w:b/>
          <w:iCs/>
          <w:color w:val="000000"/>
          <w:sz w:val="28"/>
          <w:szCs w:val="28"/>
          <w:lang w:eastAsia="ru-RU"/>
        </w:rPr>
        <w:t xml:space="preserve"> </w:t>
      </w:r>
    </w:p>
    <w:p w14:paraId="555A3D1B">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Бүкіл сынақта пайдаланылған үлгілердің ықтимал мөлшерін есептеу жүргізілді. Жеткілікті үлгілерді алдын ала брондау жасалынды. Талдау алдында концентрация болжаланды. Егер олардың мәндері стандартты қисық диапазонында болмаса, нақты тәжірибелер үшін оңтайлы үлгі сұйылтуларын анықтау жасалынды;</w:t>
      </w:r>
    </w:p>
    <w:p w14:paraId="01E7164B">
      <w:pPr>
        <w:widowControl w:val="0"/>
        <w:numPr>
          <w:ilvl w:val="0"/>
          <w:numId w:val="16"/>
        </w:numPr>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Гепсидинге – үлгіні PBS бойынша сұйылту керек;</w:t>
      </w:r>
    </w:p>
    <w:p w14:paraId="194EFACA">
      <w:pPr>
        <w:widowControl w:val="0"/>
        <w:numPr>
          <w:ilvl w:val="0"/>
          <w:numId w:val="16"/>
        </w:numPr>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Эритропоэтин – үлгіні PBS бойынша сұйылту керек;</w:t>
      </w:r>
    </w:p>
    <w:p w14:paraId="05F7CC10">
      <w:pPr>
        <w:widowControl w:val="0"/>
        <w:numPr>
          <w:ilvl w:val="0"/>
          <w:numId w:val="16"/>
        </w:numPr>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ИЛ–6 –үлгіні PBS бойынша сұйылту керек;</w:t>
      </w:r>
    </w:p>
    <w:p w14:paraId="0E5C4088">
      <w:pPr>
        <w:widowControl w:val="0"/>
        <w:numPr>
          <w:ilvl w:val="0"/>
          <w:numId w:val="16"/>
        </w:numPr>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drawing>
          <wp:inline distT="0" distB="0" distL="0" distR="0">
            <wp:extent cx="13970" cy="13970"/>
            <wp:effectExtent l="0" t="0" r="0" b="0"/>
            <wp:docPr id="95" name="Рисунок 95" descr="C:\Users\kgmuuser\AppData\Local\Temp\ksohtml7396\wps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Рисунок 95" descr="C:\Users\kgmuuser\AppData\Local\Temp\ksohtml7396\wps11.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13970" cy="13970"/>
                    </a:xfrm>
                    <a:prstGeom prst="rect">
                      <a:avLst/>
                    </a:prstGeom>
                    <a:noFill/>
                    <a:ln>
                      <a:noFill/>
                    </a:ln>
                  </pic:spPr>
                </pic:pic>
              </a:graphicData>
            </a:graphic>
          </wp:inline>
        </w:drawing>
      </w:r>
      <w:r>
        <w:rPr>
          <w:rFonts w:ascii="Times New Roman" w:hAnsi="Times New Roman" w:eastAsia="Times New Roman" w:cs="Times New Roman"/>
          <w:sz w:val="28"/>
          <w:szCs w:val="28"/>
          <w:lang w:eastAsia="ru-RU"/>
        </w:rPr>
        <w:t>CРА – сарысу сынамалары шамамен 500 немесе 500 есе сұйылтуды қажет етеді. Үлгіні 1:500 сұйылтуды дайындау үшін 20μL үлгісін 180μL PBS–ке ауыстыр. Бұл 1:10 сұйылту береді. Әрі қарай 1:10 үлгісін 10μL– ді 490μL PBS–ке ауыстыру арқылы сұйылт. Қазір үлгінің 1:500 сұйылтуы бар. Үлгіні 0,01 моль/Л PBS(PH=7.0–7.2) сұйылту керек;</w:t>
      </w:r>
    </w:p>
    <w:p w14:paraId="04245629">
      <w:pPr>
        <w:widowControl w:val="0"/>
        <w:numPr>
          <w:ilvl w:val="0"/>
          <w:numId w:val="16"/>
        </w:numPr>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Ферритин – сарысу үлгілері шамамен 50 есе сұйылтуды қажет етеді. Ұсынылған 50 еселік сұйылту 10μL үлгісі + 490μL PBS;</w:t>
      </w:r>
    </w:p>
    <w:p w14:paraId="010A1194">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Әр кезеңде мұқият араластырады. Үлгіні 0,01 моль/л PBS (PH=7,0–7,2) арқылы сұйылту жүргізілді. Егер үлгі әдістемелік құралда  көрсетілмесе Kit–тің жарамдылық уақытына мән беру қажет болады, ол үшін алдын ала тәжірибе жасалынды. Кейбір жағдайларда химиялық лизис буферімен жасалған жасушалардық экстрациясы мен тіндер химиялық қоспалар әсерінен күтпеген нәтижелен беруі мүмкін.</w:t>
      </w:r>
    </w:p>
    <w:p w14:paraId="7A511475">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 </w:t>
      </w:r>
    </w:p>
    <w:p w14:paraId="138AC777">
      <w:pPr>
        <w:widowControl w:val="0"/>
        <w:autoSpaceDE w:val="0"/>
        <w:autoSpaceDN w:val="0"/>
        <w:spacing w:after="0" w:line="276" w:lineRule="auto"/>
        <w:ind w:firstLine="709"/>
        <w:jc w:val="both"/>
        <w:outlineLvl w:val="0"/>
        <w:rPr>
          <w:rFonts w:ascii="Times New Roman" w:hAnsi="Times New Roman" w:eastAsia="Times New Roman" w:cs="Times New Roman"/>
          <w:b/>
          <w:iCs/>
          <w:color w:val="000000"/>
          <w:sz w:val="28"/>
          <w:szCs w:val="28"/>
          <w:lang w:eastAsia="ru-RU"/>
        </w:rPr>
      </w:pPr>
      <w:r>
        <w:rPr>
          <w:rFonts w:ascii="Times New Roman" w:hAnsi="Times New Roman" w:eastAsia="Times New Roman" w:cs="Times New Roman"/>
          <w:b/>
          <w:sz w:val="28"/>
          <w:szCs w:val="28"/>
          <w:lang w:eastAsia="ru-RU"/>
        </w:rPr>
        <w:t xml:space="preserve">2.4.4 </w:t>
      </w:r>
      <w:r>
        <w:rPr>
          <w:rFonts w:ascii="Times New Roman" w:hAnsi="Times New Roman" w:eastAsia="Times New Roman" w:cs="Times New Roman"/>
          <w:b/>
          <w:iCs/>
          <w:color w:val="000000"/>
          <w:sz w:val="28"/>
          <w:szCs w:val="28"/>
          <w:lang w:eastAsia="ru-RU"/>
        </w:rPr>
        <w:t>Талдау жүргізу іс–шарасы</w:t>
      </w:r>
    </w:p>
    <w:p w14:paraId="4E12E218">
      <w:pPr>
        <w:widowControl w:val="0"/>
        <w:autoSpaceDE w:val="0"/>
        <w:autoSpaceDN w:val="0"/>
        <w:spacing w:after="0" w:line="276" w:lineRule="auto"/>
        <w:ind w:firstLine="709"/>
        <w:jc w:val="both"/>
        <w:outlineLvl w:val="0"/>
        <w:rPr>
          <w:rFonts w:ascii="Times New Roman" w:hAnsi="Times New Roman" w:eastAsia="Times New Roman" w:cs="Times New Roman"/>
          <w:b/>
          <w:iCs/>
          <w:color w:val="000000"/>
          <w:sz w:val="28"/>
          <w:szCs w:val="28"/>
          <w:lang w:eastAsia="ru-RU"/>
        </w:rPr>
      </w:pPr>
      <w:r>
        <w:rPr>
          <w:rFonts w:ascii="Times New Roman" w:hAnsi="Times New Roman" w:eastAsia="Times New Roman" w:cs="Times New Roman"/>
          <w:b/>
          <w:iCs/>
          <w:color w:val="000000"/>
          <w:sz w:val="28"/>
          <w:szCs w:val="28"/>
          <w:lang w:eastAsia="ru-RU"/>
        </w:rPr>
        <w:t xml:space="preserve"> </w:t>
      </w:r>
    </w:p>
    <w:p w14:paraId="45787F98">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1. Сұйылтылған стандарт, дайындама және үлгі үшін ұңғымалар анықталды. Стандарт үшін 7 ұңғыма, дайындама үшін 1 шұңқыр дайындалынды. Стандартты сұйылтулар, дайындаманың және үлгілердің әрқайсысы 100 мкл сәйкес ұяшықтарға қосылды. Пластина тығыздағышпен жабылды. 37</w:t>
      </w:r>
      <w:r>
        <w:rPr>
          <w:rFonts w:ascii="Times New Roman" w:hAnsi="Times New Roman" w:eastAsia="Times New Roman" w:cs="Times New Roman"/>
          <w:sz w:val="28"/>
          <w:szCs w:val="28"/>
          <w:vertAlign w:val="superscript"/>
          <w:lang w:eastAsia="ru-RU"/>
        </w:rPr>
        <w:t>o</w:t>
      </w:r>
      <w:r>
        <w:rPr>
          <w:rFonts w:ascii="Times New Roman" w:hAnsi="Times New Roman" w:eastAsia="Times New Roman" w:cs="Times New Roman"/>
          <w:sz w:val="28"/>
          <w:szCs w:val="28"/>
          <w:lang w:eastAsia="ru-RU"/>
        </w:rPr>
        <w:t>C температурада 1 сағат инкубацияланды;</w:t>
      </w:r>
    </w:p>
    <w:p w14:paraId="3AC3D1FF">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2.   Әрбір құдықтың сұйықтығы алынды;</w:t>
      </w:r>
    </w:p>
    <w:p w14:paraId="055BED12">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3. Әрбір ұңғымаға 100 мкл анықтау реагенті жұмыс ерітіндісі қосылды, ұңғымалар пластинкамен жабылды және 37</w:t>
      </w:r>
      <w:r>
        <w:rPr>
          <w:rFonts w:ascii="Times New Roman" w:hAnsi="Times New Roman" w:eastAsia="Times New Roman" w:cs="Times New Roman"/>
          <w:sz w:val="28"/>
          <w:szCs w:val="28"/>
          <w:vertAlign w:val="superscript"/>
          <w:lang w:eastAsia="ru-RU"/>
        </w:rPr>
        <w:t>o</w:t>
      </w:r>
      <w:r>
        <w:rPr>
          <w:rFonts w:ascii="Times New Roman" w:hAnsi="Times New Roman" w:eastAsia="Times New Roman" w:cs="Times New Roman"/>
          <w:sz w:val="28"/>
          <w:szCs w:val="28"/>
          <w:lang w:eastAsia="ru-RU"/>
        </w:rPr>
        <w:t>C температурада 1 сағат бойы инкубацияланды;</w:t>
      </w:r>
    </w:p>
    <w:p w14:paraId="32A27F51">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4. Ерітінді сорып алынып және 350 мкл 1× жуу ерітіндісімен әр ұңғымаға құйылған бөтелке, көп арналы тамшуыр, коллекторлы диспенсер немесе автожуғышты пайдаланып жуылды және ол 1~2 минутқа қалдырылды. Пластинаны сіңіргіш қағазға қысу арқылы барлық ұңғымалардан қалған сұйықтық толығымен алып тасталынды. Толығымен 3 рет жуылды. Соңғы жуудан кейін қалған жуу буферін сорып алу немесе декантациялау арқылы алып тасталынды. Пластинаны төңкеріп, және сіңіргіш қағазға сүртілді; </w:t>
      </w:r>
    </w:p>
    <w:p w14:paraId="1EFB0D9C">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5. Әрбір ұңғымаға 100 мкл анықтау реагенті В жұмыс ерітіндісі қосылды, ұңғымалар пластинкамен жабылды және 30 минут бойы 37</w:t>
      </w:r>
      <w:r>
        <w:rPr>
          <w:rFonts w:ascii="Times New Roman" w:hAnsi="Times New Roman" w:eastAsia="Times New Roman" w:cs="Times New Roman"/>
          <w:sz w:val="28"/>
          <w:szCs w:val="28"/>
          <w:vertAlign w:val="superscript"/>
          <w:lang w:eastAsia="ru-RU"/>
        </w:rPr>
        <w:t>o</w:t>
      </w:r>
      <w:r>
        <w:rPr>
          <w:rFonts w:ascii="Times New Roman" w:hAnsi="Times New Roman" w:eastAsia="Times New Roman" w:cs="Times New Roman"/>
          <w:sz w:val="28"/>
          <w:szCs w:val="28"/>
          <w:lang w:eastAsia="ru-RU"/>
        </w:rPr>
        <w:t>C температурада тұндырылды;</w:t>
      </w:r>
    </w:p>
    <w:p w14:paraId="2045E294">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6.  Аспирация/жуу үрдісін 4–қадамда орындалғандай барлығы 5 рет қайталанылды;</w:t>
      </w:r>
    </w:p>
    <w:p w14:paraId="3412177E">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7. Әрбір ұңғымаға 90 мкл субстрат ерітіндісі қосылды. Жаңа Plate тығыздағышпен жабылды. 10–20 минут 37</w:t>
      </w:r>
      <w:r>
        <w:rPr>
          <w:rFonts w:ascii="Times New Roman" w:hAnsi="Times New Roman" w:eastAsia="Times New Roman" w:cs="Times New Roman"/>
          <w:sz w:val="28"/>
          <w:szCs w:val="28"/>
          <w:vertAlign w:val="superscript"/>
          <w:lang w:eastAsia="ru-RU"/>
        </w:rPr>
        <w:t>o</w:t>
      </w:r>
      <w:r>
        <w:rPr>
          <w:rFonts w:ascii="Times New Roman" w:hAnsi="Times New Roman" w:eastAsia="Times New Roman" w:cs="Times New Roman"/>
          <w:sz w:val="28"/>
          <w:szCs w:val="28"/>
          <w:lang w:eastAsia="ru-RU"/>
        </w:rPr>
        <w:t>C (30 минуттан асырмай) инкубацияланды. Жарықтан қорғатылды. Substrate Solution қосу арқылы сұйықтық көк түске боятылды;</w:t>
      </w:r>
    </w:p>
    <w:p w14:paraId="351BFA71">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8. Әрбір ұңғымаға 50 мкл тоқтату ерітіндісі қосылды. Тоқтату ерітіндісін қосқанда сұйықтық сары түске (сурет – 5) айналды. Пластинаның бүйірін түрту арқылы сұйықтық араластырылды. Түс өзгерісі біркелкі болмаса, мұқият араластыруды қамтамасыз ету үшін пластина ақырын түртілді;</w:t>
      </w:r>
    </w:p>
    <w:p w14:paraId="0D638756">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p>
    <w:p w14:paraId="3E4BB041">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drawing>
          <wp:inline distT="0" distB="0" distL="0" distR="0">
            <wp:extent cx="1842770" cy="1565275"/>
            <wp:effectExtent l="0" t="0" r="5080" b="0"/>
            <wp:docPr id="96" name="Рисунок 96" descr="C:\Users\kgmuuser\AppData\Local\Temp\ksohtml7396\wps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Рисунок 96" descr="C:\Users\kgmuuser\AppData\Local\Temp\ksohtml7396\wps12.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0" y="0"/>
                      <a:ext cx="1842770" cy="1565275"/>
                    </a:xfrm>
                    <a:prstGeom prst="rect">
                      <a:avLst/>
                    </a:prstGeom>
                    <a:noFill/>
                    <a:ln>
                      <a:noFill/>
                    </a:ln>
                  </pic:spPr>
                </pic:pic>
              </a:graphicData>
            </a:graphic>
          </wp:inline>
        </w:drawing>
      </w:r>
      <w:r>
        <w:rPr>
          <w:rFonts w:ascii="Times New Roman" w:hAnsi="Times New Roman" w:eastAsia="Times New Roman" w:cs="Times New Roman"/>
          <w:sz w:val="28"/>
          <w:szCs w:val="28"/>
          <w:lang w:eastAsia="ru-RU"/>
        </w:rPr>
        <w:t xml:space="preserve">   </w:t>
      </w:r>
    </w:p>
    <w:p w14:paraId="78B5886C">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p>
    <w:p w14:paraId="673F9D21">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Сурет – 5. Ұңғымаға ерітінді құю (Cloud–Clone Corporation нұсқаулығынан алынған, 2024 [162])</w:t>
      </w:r>
    </w:p>
    <w:p w14:paraId="0E7BEB9C">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p>
    <w:p w14:paraId="430A735F">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9. Пластинаның төменгі жағындағы кез келген су тамшысы және саусақ ізі тазаланып алынды және сұйықтық бетінде көпіршік жоқ екеніне көз жеткізілді. Содан кейін микропластинаны оқу құралын іске қосып, өлшеу бірден 450 нм орындалды;</w:t>
      </w:r>
    </w:p>
    <w:p w14:paraId="02F8EA18">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Іс–шараларды жүргізу барысында қатаң сақталған ережелер:</w:t>
      </w:r>
    </w:p>
    <w:p w14:paraId="46F43726">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val="kk-KZ" w:eastAsia="ru-RU"/>
        </w:rPr>
      </w:pPr>
      <w:r>
        <w:rPr>
          <w:rFonts w:ascii="Times New Roman" w:hAnsi="Times New Roman" w:eastAsia="Times New Roman" w:cs="Times New Roman"/>
          <w:sz w:val="28"/>
          <w:szCs w:val="28"/>
          <w:lang w:eastAsia="ru-RU"/>
        </w:rPr>
        <w:t>Талдауды дайындау ар</w:t>
      </w:r>
      <w:r>
        <w:rPr>
          <w:rFonts w:ascii="Times New Roman" w:hAnsi="Times New Roman" w:eastAsia="Times New Roman" w:cs="Times New Roman"/>
          <w:sz w:val="28"/>
          <w:szCs w:val="28"/>
          <w:lang w:val="kk-KZ" w:eastAsia="ru-RU"/>
        </w:rPr>
        <w:t xml:space="preserve">қылы </w:t>
      </w:r>
      <w:r>
        <w:rPr>
          <w:rFonts w:ascii="Times New Roman" w:hAnsi="Times New Roman" w:eastAsia="Times New Roman" w:cs="Times New Roman"/>
          <w:sz w:val="28"/>
          <w:szCs w:val="28"/>
          <w:lang w:eastAsia="ru-RU"/>
        </w:rPr>
        <w:t>әрбір тәжірибе үшін ұңғымалардың сәйкес санын сақталынып және микропластиннен тыс ұңғымалар алып тасталынды. Демалыс ұңғымаларын қайта жабу және –20</w:t>
      </w:r>
      <w:r>
        <w:rPr>
          <w:rFonts w:ascii="Times New Roman" w:hAnsi="Times New Roman" w:eastAsia="Times New Roman" w:cs="Times New Roman"/>
          <w:sz w:val="28"/>
          <w:szCs w:val="28"/>
          <w:vertAlign w:val="superscript"/>
          <w:lang w:eastAsia="ru-RU"/>
        </w:rPr>
        <w:t>o</w:t>
      </w:r>
      <w:r>
        <w:rPr>
          <w:rFonts w:ascii="Times New Roman" w:hAnsi="Times New Roman" w:eastAsia="Times New Roman" w:cs="Times New Roman"/>
          <w:sz w:val="28"/>
          <w:szCs w:val="28"/>
          <w:lang w:eastAsia="ru-RU"/>
        </w:rPr>
        <w:t>C температурада сақтау жүргізілді</w:t>
      </w:r>
      <w:r>
        <w:rPr>
          <w:rFonts w:ascii="Times New Roman" w:hAnsi="Times New Roman" w:eastAsia="Times New Roman" w:cs="Times New Roman"/>
          <w:sz w:val="28"/>
          <w:szCs w:val="28"/>
          <w:lang w:val="kk-KZ" w:eastAsia="ru-RU"/>
        </w:rPr>
        <w:t xml:space="preserve">. Сонан соң жаңадан дайындалған стандарт пайдаланылды. </w:t>
      </w:r>
      <w:r>
        <w:rPr>
          <w:rFonts w:ascii="Times New Roman" w:hAnsi="Times New Roman" w:eastAsia="Times New Roman" w:cs="Times New Roman"/>
          <w:sz w:val="28"/>
          <w:szCs w:val="28"/>
          <w:lang w:eastAsia="ru-RU"/>
        </w:rPr>
        <w:t>Ұңғыларға үлгілерді мұқият қосып, көбік пайда болмас үшін ақырын араластырырылды. Құдық қабырғасына қол тигізу болған жоқ. Процедураның әрбір қадамы үшін талдау тақтасына реагенттерді немесе үлгілерді қосуға арналған жалпы бөлу уақыты 10 минуттан асқан жоқ. Бұл тамшуырдың әрбір қадамы үшін үзіліссіз бірдей өту уақытын қамтамасыз етеді. Қажет болмаса да, барлық стандарттар мен үлгілерді қайталау жасалынды. Айқас ластануды болдырмау үшін стандарттардың, үлгілердің және реагенттердің қоспалары арасындағы тамшуыр ұштары ауыстырылып отырды. Сондай–ақ әрбір реагент үшін бөлек резервуарлар қолданылды</w:t>
      </w:r>
      <w:r>
        <w:rPr>
          <w:rFonts w:ascii="Times New Roman" w:hAnsi="Times New Roman" w:eastAsia="Times New Roman" w:cs="Times New Roman"/>
          <w:sz w:val="28"/>
          <w:szCs w:val="28"/>
          <w:lang w:val="kk-KZ" w:eastAsia="ru-RU"/>
        </w:rPr>
        <w:t xml:space="preserve">. </w:t>
      </w:r>
      <w:r>
        <w:rPr>
          <w:rFonts w:ascii="Times New Roman" w:hAnsi="Times New Roman" w:eastAsia="Times New Roman" w:cs="Times New Roman"/>
          <w:sz w:val="28"/>
          <w:szCs w:val="28"/>
          <w:lang w:eastAsia="ru-RU"/>
        </w:rPr>
        <w:t>Дәл нәтижелерді қамтамасыз ету үшін инкубация қадамдары кезінде пластина тығыздағыштарын дұрыс жабыстыру қадағаланды. Ұңғымалардың инкубация қадамдары арасында ұзақ уақыт бойы жабық тұруына жол берілмеді. Ұңғыма жолақтарына реагенттер қосылғаннан кейін, талдау кезінде жолақтарды кептіру уақыты қатаң сақталды. Инкубация уақыты мен температура қатаң түрде бақыланды</w:t>
      </w:r>
      <w:r>
        <w:rPr>
          <w:rFonts w:ascii="Times New Roman" w:hAnsi="Times New Roman" w:eastAsia="Times New Roman" w:cs="Times New Roman"/>
          <w:sz w:val="28"/>
          <w:szCs w:val="28"/>
          <w:lang w:val="kk-KZ" w:eastAsia="ru-RU"/>
        </w:rPr>
        <w:t>. Келесі ж</w:t>
      </w:r>
      <w:r>
        <w:rPr>
          <w:rFonts w:ascii="Times New Roman" w:hAnsi="Times New Roman" w:eastAsia="Times New Roman" w:cs="Times New Roman"/>
          <w:sz w:val="28"/>
          <w:szCs w:val="28"/>
          <w:lang w:eastAsia="ru-RU"/>
        </w:rPr>
        <w:t>уу процедурасы өте маңызды. Әр қадамда сұйықтықты толығымен алып тастау жақсы жұмыс істеу үшін маңызды. Соңғы жуудан кейін қалған жуу ерітіндісін сору немесе декантациялау арқылы алып тасталынды және пластинаның төменгі жағындағы кез келген су тамшысын және саусақ болған жоқ. Жеткіліксіз жуу дәлдіктің нашарлауына және сіңірілу көрсеткішінің жалған жоғарыл</w:t>
      </w:r>
      <w:r>
        <w:rPr>
          <w:rFonts w:ascii="Times New Roman" w:hAnsi="Times New Roman" w:eastAsia="Times New Roman" w:cs="Times New Roman"/>
          <w:color w:val="000000"/>
          <w:sz w:val="28"/>
          <w:szCs w:val="28"/>
          <w:lang w:eastAsia="ru-RU"/>
        </w:rPr>
        <w:t>ауына әкеледі.</w:t>
      </w:r>
      <w:r>
        <w:rPr>
          <w:rFonts w:ascii="Times New Roman" w:hAnsi="Times New Roman" w:eastAsia="Times New Roman" w:cs="Times New Roman"/>
          <w:sz w:val="28"/>
          <w:szCs w:val="28"/>
          <w:lang w:val="kk-KZ" w:eastAsia="ru-RU"/>
        </w:rPr>
        <w:t xml:space="preserve"> </w:t>
      </w:r>
      <w:r>
        <w:rPr>
          <w:rFonts w:ascii="Times New Roman" w:hAnsi="Times New Roman" w:eastAsia="Times New Roman" w:cs="Times New Roman"/>
          <w:color w:val="000000"/>
          <w:sz w:val="28"/>
          <w:szCs w:val="28"/>
          <w:lang w:val="kk-KZ" w:eastAsia="ru-RU"/>
        </w:rPr>
        <w:t>TMB субстратын қосқаннан кейін түс өзгерісі қадағаланды (мысалы, 10 минут сайын бір рет бақылау), егер түс тым терең болса, сіңіргіштік көрсеткішінің дәл болмауына әкелетін шамадан тыс күшті реакцияны болдырмау үшін алдын ала тоқтату ерітіндісі қосылды. TMB субстраты оңай ластанатындықтан, оны жарықтан қорғау жүргізілді. Қоршаған ортаның ылғалдылығы 60%–дан төмен болса, соңғы өнімділікке біраз әсер етуі мүмкін, сондықтан бұл жағдайда ылғалдандырғышты пайдалану ұсынылады.</w:t>
      </w:r>
    </w:p>
    <w:p w14:paraId="21F47FAD">
      <w:pPr>
        <w:widowControl w:val="0"/>
        <w:autoSpaceDE w:val="0"/>
        <w:autoSpaceDN w:val="0"/>
        <w:spacing w:after="0" w:line="276" w:lineRule="auto"/>
        <w:ind w:firstLine="709"/>
        <w:jc w:val="both"/>
        <w:outlineLvl w:val="0"/>
        <w:rPr>
          <w:rFonts w:ascii="Times New Roman" w:hAnsi="Times New Roman" w:eastAsia="Times New Roman" w:cs="Times New Roman"/>
          <w:color w:val="000000"/>
          <w:sz w:val="28"/>
          <w:szCs w:val="28"/>
          <w:lang w:val="kk-KZ" w:eastAsia="ru-RU"/>
        </w:rPr>
      </w:pPr>
      <w:r>
        <w:rPr>
          <w:rFonts w:ascii="Times New Roman" w:hAnsi="Times New Roman" w:eastAsia="Times New Roman" w:cs="Times New Roman"/>
          <w:color w:val="000000"/>
          <w:sz w:val="28"/>
          <w:szCs w:val="28"/>
          <w:lang w:val="kk-KZ" w:eastAsia="ru-RU"/>
        </w:rPr>
        <w:t xml:space="preserve"> </w:t>
      </w:r>
    </w:p>
    <w:p w14:paraId="3BD2E5A4">
      <w:pPr>
        <w:widowControl w:val="0"/>
        <w:autoSpaceDE w:val="0"/>
        <w:autoSpaceDN w:val="0"/>
        <w:spacing w:after="0" w:line="276" w:lineRule="auto"/>
        <w:ind w:firstLine="709"/>
        <w:jc w:val="both"/>
        <w:outlineLvl w:val="0"/>
        <w:rPr>
          <w:rFonts w:ascii="Times New Roman" w:hAnsi="Times New Roman" w:eastAsia="Times New Roman" w:cs="Times New Roman"/>
          <w:b/>
          <w:iCs/>
          <w:color w:val="000000"/>
          <w:sz w:val="28"/>
          <w:szCs w:val="28"/>
          <w:lang w:eastAsia="ru-RU"/>
        </w:rPr>
      </w:pPr>
      <w:r>
        <w:rPr>
          <w:rFonts w:ascii="Times New Roman" w:hAnsi="Times New Roman" w:eastAsia="Times New Roman" w:cs="Times New Roman"/>
          <w:b/>
          <w:color w:val="000000"/>
          <w:sz w:val="28"/>
          <w:szCs w:val="28"/>
          <w:lang w:eastAsia="ru-RU"/>
        </w:rPr>
        <w:t xml:space="preserve">2.4.5 </w:t>
      </w:r>
      <w:r>
        <w:rPr>
          <w:rFonts w:ascii="Times New Roman" w:hAnsi="Times New Roman" w:eastAsia="Times New Roman" w:cs="Times New Roman"/>
          <w:b/>
          <w:iCs/>
          <w:color w:val="000000"/>
          <w:sz w:val="28"/>
          <w:szCs w:val="28"/>
          <w:lang w:eastAsia="ru-RU"/>
        </w:rPr>
        <w:t>Тесттің принципі</w:t>
      </w:r>
    </w:p>
    <w:p w14:paraId="24C09D98">
      <w:pPr>
        <w:widowControl w:val="0"/>
        <w:autoSpaceDE w:val="0"/>
        <w:autoSpaceDN w:val="0"/>
        <w:spacing w:after="0" w:line="276" w:lineRule="auto"/>
        <w:ind w:firstLine="709"/>
        <w:jc w:val="both"/>
        <w:outlineLvl w:val="0"/>
        <w:rPr>
          <w:rFonts w:ascii="Times New Roman" w:hAnsi="Times New Roman" w:eastAsia="Times New Roman" w:cs="Times New Roman"/>
          <w:b/>
          <w:iCs/>
          <w:color w:val="000000"/>
          <w:sz w:val="28"/>
          <w:szCs w:val="28"/>
          <w:lang w:eastAsia="ru-RU"/>
        </w:rPr>
      </w:pPr>
      <w:r>
        <w:rPr>
          <w:rFonts w:ascii="Times New Roman" w:hAnsi="Times New Roman" w:eastAsia="Times New Roman" w:cs="Times New Roman"/>
          <w:b/>
          <w:iCs/>
          <w:color w:val="000000"/>
          <w:sz w:val="28"/>
          <w:szCs w:val="28"/>
          <w:lang w:eastAsia="ru-RU"/>
        </w:rPr>
        <w:t xml:space="preserve"> </w:t>
      </w:r>
    </w:p>
    <w:p w14:paraId="0C6AA1F8">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Бұл жинақта берілген микропластинаға гепсидинге, эритропоэтинге, </w:t>
      </w:r>
      <w:r>
        <w:rPr>
          <w:rFonts w:ascii="Times New Roman" w:hAnsi="Times New Roman" w:eastAsia="Times New Roman" w:cs="Times New Roman"/>
          <w:sz w:val="28"/>
          <w:szCs w:val="28"/>
          <w:lang w:val="kk-KZ" w:eastAsia="ru-RU"/>
        </w:rPr>
        <w:t>ИЛ</w:t>
      </w:r>
      <w:r>
        <w:rPr>
          <w:rFonts w:ascii="Times New Roman" w:hAnsi="Times New Roman" w:eastAsia="Times New Roman" w:cs="Times New Roman"/>
          <w:sz w:val="28"/>
          <w:szCs w:val="28"/>
          <w:lang w:eastAsia="ru-RU"/>
        </w:rPr>
        <w:t>–6–ға, СРА-ға және ферритинге тән антидене алдын ала қапталған. Содан кейін стандартты үлгілер биотинмен конъюгацияланған спецификалық маркерлердің антиденесі бар тиісті микропластиналық ұяшықтарға қосылады. Әрі қарай, желкек пероксидазасымен (HRP) конъюгацияланған авидин әрбір микропластинаға қосылады және инкубацияланады. ТМВ субстрат ерітіндісін қосқаннан кейін, құрамында гепсидин, биотин–конъюгат–дене–дензим–конъюгацияланған Авидин бар ұяшықтар ғана түсінің өзгеруін көрсетеді. Фермент–субстрат реакциясы күкірт қышқылы ерітіндісін енгізу арқылы тоқтатылады және түс өзгерісі 450нм ± 10нм толқын ұзындығында спектрофотометриялық түрде өлшенеді. Содан кейін үлгілердегі маркерлердің концентрациясы үлгілерді стандартты қисығымен салыстыру арқылы анықталады.</w:t>
      </w:r>
    </w:p>
    <w:p w14:paraId="71D46116">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 </w:t>
      </w:r>
    </w:p>
    <w:p w14:paraId="7B9D7975">
      <w:pPr>
        <w:widowControl w:val="0"/>
        <w:autoSpaceDE w:val="0"/>
        <w:autoSpaceDN w:val="0"/>
        <w:spacing w:after="0" w:line="276" w:lineRule="auto"/>
        <w:ind w:firstLine="709"/>
        <w:jc w:val="both"/>
        <w:outlineLvl w:val="0"/>
        <w:rPr>
          <w:rFonts w:ascii="Times New Roman" w:hAnsi="Times New Roman" w:eastAsia="Times New Roman" w:cs="Times New Roman"/>
          <w:b/>
          <w:iCs/>
          <w:color w:val="000000"/>
          <w:sz w:val="28"/>
          <w:szCs w:val="28"/>
          <w:lang w:eastAsia="ru-RU"/>
        </w:rPr>
      </w:pPr>
      <w:r>
        <w:rPr>
          <w:rFonts w:ascii="Times New Roman" w:hAnsi="Times New Roman" w:eastAsia="Times New Roman" w:cs="Times New Roman"/>
          <w:b/>
          <w:sz w:val="28"/>
          <w:szCs w:val="28"/>
          <w:lang w:eastAsia="ru-RU"/>
        </w:rPr>
        <w:t>2.4.6 Зерттеу н</w:t>
      </w:r>
      <w:r>
        <w:rPr>
          <w:rFonts w:ascii="Times New Roman" w:hAnsi="Times New Roman" w:eastAsia="Times New Roman" w:cs="Times New Roman"/>
          <w:b/>
          <w:iCs/>
          <w:color w:val="000000"/>
          <w:sz w:val="28"/>
          <w:szCs w:val="28"/>
          <w:lang w:eastAsia="ru-RU"/>
        </w:rPr>
        <w:t>әтижелерін есептеу</w:t>
      </w:r>
    </w:p>
    <w:p w14:paraId="63497011">
      <w:pPr>
        <w:widowControl w:val="0"/>
        <w:autoSpaceDE w:val="0"/>
        <w:autoSpaceDN w:val="0"/>
        <w:spacing w:after="0" w:line="276" w:lineRule="auto"/>
        <w:ind w:firstLine="709"/>
        <w:jc w:val="both"/>
        <w:outlineLvl w:val="0"/>
        <w:rPr>
          <w:rFonts w:ascii="Times New Roman" w:hAnsi="Times New Roman" w:eastAsia="Times New Roman" w:cs="Times New Roman"/>
          <w:b/>
          <w:iCs/>
          <w:color w:val="000000"/>
          <w:sz w:val="28"/>
          <w:szCs w:val="28"/>
          <w:lang w:eastAsia="ru-RU"/>
        </w:rPr>
      </w:pPr>
      <w:r>
        <w:rPr>
          <w:rFonts w:ascii="Times New Roman" w:hAnsi="Times New Roman" w:eastAsia="Times New Roman" w:cs="Times New Roman"/>
          <w:b/>
          <w:iCs/>
          <w:color w:val="000000"/>
          <w:sz w:val="28"/>
          <w:szCs w:val="28"/>
          <w:lang w:eastAsia="ru-RU"/>
        </w:rPr>
        <w:t xml:space="preserve"> </w:t>
      </w:r>
    </w:p>
    <w:p w14:paraId="135D320B">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Әрбір стандарт үшін, бақылау және үлгілер үшін қайталанатын көрсеткіштердің орташа мәні алынды және орташа нөлдік стандартты оптикалық тығыздық шегерілді. Y осінде гепсидин концентрациясы және солк осінде сіңіру бар стандартты қисық құрылды. Нүктелер арқылы ең жақсы сәйкес қисық сызылды және оны регрессиялық талдау арқылы анықтауға болады. Үлгі сұйылтылған болса, стандартты қисықтан оқылатын концентрацияны сұйылту коэффициентіне көбейту жүргізілді.</w:t>
      </w:r>
    </w:p>
    <w:p w14:paraId="795578C1">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Анықтау аралығы мен сезімталдығы бойынша кесте – 4 көрсетілді. Бұндай талдауды анықтау ақуыздығ ең төменгі дәрежесі ретінде анықталады. Ол жиырма нөлдік стандартты қайталаудың тақырыптық тығыздық мәніне екі стандартты ауытқуды қосу және сәйкес концентрацияны есептеу арқылы анықталды.</w:t>
      </w:r>
    </w:p>
    <w:p w14:paraId="5F067D1F">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 </w:t>
      </w:r>
    </w:p>
    <w:p w14:paraId="16FAF597">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Кесте – 4. Маркерлерді анықтау аралығы мен сезімталдығы.</w:t>
      </w:r>
    </w:p>
    <w:p w14:paraId="34AC67D7">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p>
    <w:tbl>
      <w:tblPr>
        <w:tblStyle w:val="13"/>
        <w:tblW w:w="0" w:type="auto"/>
        <w:tblInd w:w="0" w:type="dxa"/>
        <w:tblLayout w:type="autofit"/>
        <w:tblCellMar>
          <w:top w:w="15" w:type="dxa"/>
          <w:left w:w="15" w:type="dxa"/>
          <w:bottom w:w="15" w:type="dxa"/>
          <w:right w:w="15" w:type="dxa"/>
        </w:tblCellMar>
      </w:tblPr>
      <w:tblGrid>
        <w:gridCol w:w="3157"/>
        <w:gridCol w:w="3151"/>
        <w:gridCol w:w="3077"/>
      </w:tblGrid>
      <w:tr w14:paraId="1F01EEBD">
        <w:tblPrEx>
          <w:tblCellMar>
            <w:top w:w="15" w:type="dxa"/>
            <w:left w:w="15" w:type="dxa"/>
            <w:bottom w:w="15" w:type="dxa"/>
            <w:right w:w="15" w:type="dxa"/>
          </w:tblCellMar>
        </w:tblPrEx>
        <w:tc>
          <w:tcPr>
            <w:tcW w:w="3480" w:type="dxa"/>
            <w:tcBorders>
              <w:top w:val="outset" w:color="auto" w:sz="6" w:space="0"/>
              <w:left w:val="outset" w:color="auto" w:sz="6" w:space="0"/>
              <w:bottom w:val="outset" w:color="auto" w:sz="6" w:space="0"/>
              <w:right w:val="outset" w:color="auto" w:sz="6" w:space="0"/>
            </w:tcBorders>
          </w:tcPr>
          <w:p w14:paraId="55186F9B">
            <w:pPr>
              <w:widowControl w:val="0"/>
              <w:autoSpaceDE w:val="0"/>
              <w:autoSpaceDN w:val="0"/>
              <w:spacing w:before="100" w:beforeAutospacing="0" w:after="0" w:afterAutospacing="0" w:line="276" w:lineRule="auto"/>
              <w:jc w:val="both"/>
              <w:outlineLvl w:val="0"/>
              <w:rPr>
                <w:rFonts w:ascii="Times New Roman" w:hAnsi="Times New Roman" w:eastAsia="Times New Roman" w:cs="Times New Roman"/>
                <w:b/>
                <w:bCs/>
                <w:sz w:val="28"/>
                <w:szCs w:val="28"/>
                <w:lang w:val="en-US" w:eastAsia="ru-RU"/>
              </w:rPr>
            </w:pPr>
            <w:r>
              <w:rPr>
                <w:rFonts w:ascii="Times New Roman" w:hAnsi="Times New Roman" w:eastAsia="Times New Roman" w:cs="Times New Roman"/>
                <w:b/>
                <w:bCs/>
                <w:sz w:val="28"/>
                <w:szCs w:val="28"/>
                <w:lang w:val="en-US" w:eastAsia="ru-RU"/>
              </w:rPr>
              <w:t>Маркерлер</w:t>
            </w:r>
          </w:p>
        </w:tc>
        <w:tc>
          <w:tcPr>
            <w:tcW w:w="3480" w:type="dxa"/>
            <w:tcBorders>
              <w:top w:val="outset" w:color="auto" w:sz="6" w:space="0"/>
              <w:left w:val="outset" w:color="auto" w:sz="6" w:space="0"/>
              <w:bottom w:val="outset" w:color="auto" w:sz="6" w:space="0"/>
              <w:right w:val="outset" w:color="auto" w:sz="6" w:space="0"/>
            </w:tcBorders>
          </w:tcPr>
          <w:p w14:paraId="257E789C">
            <w:pPr>
              <w:widowControl w:val="0"/>
              <w:autoSpaceDE w:val="0"/>
              <w:autoSpaceDN w:val="0"/>
              <w:spacing w:before="100" w:beforeAutospacing="0" w:after="0" w:afterAutospacing="0" w:line="276" w:lineRule="auto"/>
              <w:jc w:val="both"/>
              <w:outlineLvl w:val="0"/>
              <w:rPr>
                <w:rFonts w:ascii="Times New Roman" w:hAnsi="Times New Roman" w:eastAsia="Times New Roman" w:cs="Times New Roman"/>
                <w:b/>
                <w:bCs/>
                <w:sz w:val="28"/>
                <w:szCs w:val="28"/>
                <w:lang w:val="en-US" w:eastAsia="ru-RU"/>
              </w:rPr>
            </w:pPr>
            <w:r>
              <w:rPr>
                <w:rFonts w:ascii="Times New Roman" w:hAnsi="Times New Roman" w:eastAsia="Times New Roman" w:cs="Times New Roman"/>
                <w:b/>
                <w:bCs/>
                <w:sz w:val="28"/>
                <w:szCs w:val="28"/>
                <w:lang w:val="en-US" w:eastAsia="ru-RU"/>
              </w:rPr>
              <w:t>Анықтау аралығы</w:t>
            </w:r>
          </w:p>
          <w:p w14:paraId="7FE5B057">
            <w:pPr>
              <w:widowControl w:val="0"/>
              <w:autoSpaceDE w:val="0"/>
              <w:autoSpaceDN w:val="0"/>
              <w:spacing w:before="100" w:beforeAutospacing="0" w:after="0" w:afterAutospacing="0" w:line="276" w:lineRule="auto"/>
              <w:jc w:val="both"/>
              <w:outlineLvl w:val="0"/>
              <w:rPr>
                <w:rFonts w:ascii="Times New Roman" w:hAnsi="Times New Roman" w:eastAsia="Times New Roman" w:cs="Times New Roman"/>
                <w:b/>
                <w:bCs/>
                <w:sz w:val="28"/>
                <w:szCs w:val="28"/>
                <w:lang w:val="en-US" w:eastAsia="ru-RU"/>
              </w:rPr>
            </w:pPr>
            <w:r>
              <w:rPr>
                <w:rFonts w:ascii="Times New Roman" w:hAnsi="Times New Roman" w:eastAsia="Times New Roman" w:cs="Times New Roman"/>
                <w:b/>
                <w:bCs/>
                <w:sz w:val="28"/>
                <w:szCs w:val="28"/>
                <w:lang w:val="en-US" w:eastAsia="ru-RU"/>
              </w:rPr>
              <w:t>пг/мл</w:t>
            </w:r>
          </w:p>
        </w:tc>
        <w:tc>
          <w:tcPr>
            <w:tcW w:w="3480" w:type="dxa"/>
            <w:tcBorders>
              <w:top w:val="outset" w:color="auto" w:sz="6" w:space="0"/>
              <w:left w:val="outset" w:color="auto" w:sz="6" w:space="0"/>
              <w:bottom w:val="outset" w:color="auto" w:sz="6" w:space="0"/>
              <w:right w:val="outset" w:color="auto" w:sz="6" w:space="0"/>
            </w:tcBorders>
          </w:tcPr>
          <w:p w14:paraId="29AAF83C">
            <w:pPr>
              <w:widowControl w:val="0"/>
              <w:autoSpaceDE w:val="0"/>
              <w:autoSpaceDN w:val="0"/>
              <w:spacing w:before="100" w:beforeAutospacing="0" w:after="0" w:afterAutospacing="0" w:line="276" w:lineRule="auto"/>
              <w:jc w:val="both"/>
              <w:outlineLvl w:val="0"/>
              <w:rPr>
                <w:rFonts w:ascii="Times New Roman" w:hAnsi="Times New Roman" w:eastAsia="Times New Roman" w:cs="Times New Roman"/>
                <w:b/>
                <w:bCs/>
                <w:sz w:val="28"/>
                <w:szCs w:val="28"/>
                <w:lang w:val="en-US" w:eastAsia="ru-RU"/>
              </w:rPr>
            </w:pPr>
            <w:r>
              <w:rPr>
                <w:rFonts w:ascii="Times New Roman" w:hAnsi="Times New Roman" w:eastAsia="Times New Roman" w:cs="Times New Roman"/>
                <w:b/>
                <w:bCs/>
                <w:sz w:val="28"/>
                <w:szCs w:val="28"/>
                <w:lang w:val="en-US" w:eastAsia="ru-RU"/>
              </w:rPr>
              <w:t>Ең аз анықталатын дозасы пг/мл–ден аз</w:t>
            </w:r>
          </w:p>
        </w:tc>
      </w:tr>
      <w:tr w14:paraId="76A96F57">
        <w:tblPrEx>
          <w:tblCellMar>
            <w:top w:w="15" w:type="dxa"/>
            <w:left w:w="15" w:type="dxa"/>
            <w:bottom w:w="15" w:type="dxa"/>
            <w:right w:w="15" w:type="dxa"/>
          </w:tblCellMar>
        </w:tblPrEx>
        <w:tc>
          <w:tcPr>
            <w:tcW w:w="3480" w:type="dxa"/>
            <w:tcBorders>
              <w:top w:val="nil"/>
              <w:left w:val="outset" w:color="auto" w:sz="6" w:space="0"/>
              <w:bottom w:val="outset" w:color="auto" w:sz="6" w:space="0"/>
              <w:right w:val="outset" w:color="auto" w:sz="6" w:space="0"/>
            </w:tcBorders>
          </w:tcPr>
          <w:p w14:paraId="28309371">
            <w:pPr>
              <w:widowControl w:val="0"/>
              <w:autoSpaceDE w:val="0"/>
              <w:autoSpaceDN w:val="0"/>
              <w:spacing w:before="100" w:beforeAutospacing="0" w:after="0" w:afterAutospacing="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Гепсидин</w:t>
            </w:r>
          </w:p>
        </w:tc>
        <w:tc>
          <w:tcPr>
            <w:tcW w:w="3480" w:type="dxa"/>
            <w:tcBorders>
              <w:top w:val="nil"/>
              <w:left w:val="outset" w:color="auto" w:sz="6" w:space="0"/>
              <w:bottom w:val="outset" w:color="auto" w:sz="6" w:space="0"/>
              <w:right w:val="outset" w:color="auto" w:sz="6" w:space="0"/>
            </w:tcBorders>
          </w:tcPr>
          <w:p w14:paraId="6A95142A">
            <w:pPr>
              <w:widowControl w:val="0"/>
              <w:autoSpaceDE w:val="0"/>
              <w:autoSpaceDN w:val="0"/>
              <w:spacing w:before="100" w:beforeAutospacing="0" w:after="0" w:afterAutospacing="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312</w:t>
            </w:r>
            <w:r>
              <w:rPr>
                <w:rFonts w:ascii="Times New Roman" w:hAnsi="Times New Roman" w:eastAsia="Times New Roman" w:cs="Times New Roman"/>
                <w:sz w:val="28"/>
                <w:szCs w:val="28"/>
                <w:lang w:val="en-US"/>
              </w:rPr>
              <w:t xml:space="preserve">00–200000 </w:t>
            </w:r>
          </w:p>
        </w:tc>
        <w:tc>
          <w:tcPr>
            <w:tcW w:w="3480" w:type="dxa"/>
            <w:tcBorders>
              <w:top w:val="nil"/>
              <w:left w:val="outset" w:color="auto" w:sz="6" w:space="0"/>
              <w:bottom w:val="outset" w:color="auto" w:sz="6" w:space="0"/>
              <w:right w:val="outset" w:color="auto" w:sz="6" w:space="0"/>
            </w:tcBorders>
          </w:tcPr>
          <w:p w14:paraId="74337F59">
            <w:pPr>
              <w:widowControl w:val="0"/>
              <w:autoSpaceDE w:val="0"/>
              <w:autoSpaceDN w:val="0"/>
              <w:spacing w:before="100" w:beforeAutospacing="0" w:after="0" w:afterAutospacing="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1</w:t>
            </w:r>
            <w:r>
              <w:rPr>
                <w:rFonts w:ascii="Times New Roman" w:hAnsi="Times New Roman" w:eastAsia="Times New Roman" w:cs="Times New Roman"/>
                <w:sz w:val="28"/>
                <w:szCs w:val="28"/>
                <w:lang w:val="en-US"/>
              </w:rPr>
              <w:t>12</w:t>
            </w:r>
          </w:p>
        </w:tc>
      </w:tr>
      <w:tr w14:paraId="6A56F674">
        <w:tblPrEx>
          <w:tblCellMar>
            <w:top w:w="15" w:type="dxa"/>
            <w:left w:w="15" w:type="dxa"/>
            <w:bottom w:w="15" w:type="dxa"/>
            <w:right w:w="15" w:type="dxa"/>
          </w:tblCellMar>
        </w:tblPrEx>
        <w:tc>
          <w:tcPr>
            <w:tcW w:w="3480" w:type="dxa"/>
            <w:tcBorders>
              <w:top w:val="nil"/>
              <w:left w:val="outset" w:color="auto" w:sz="6" w:space="0"/>
              <w:bottom w:val="outset" w:color="auto" w:sz="6" w:space="0"/>
              <w:right w:val="outset" w:color="auto" w:sz="6" w:space="0"/>
            </w:tcBorders>
          </w:tcPr>
          <w:p w14:paraId="5D21601A">
            <w:pPr>
              <w:widowControl w:val="0"/>
              <w:autoSpaceDE w:val="0"/>
              <w:autoSpaceDN w:val="0"/>
              <w:spacing w:before="100" w:beforeAutospacing="0" w:after="0" w:afterAutospacing="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Эритропоэтин</w:t>
            </w:r>
          </w:p>
        </w:tc>
        <w:tc>
          <w:tcPr>
            <w:tcW w:w="3480" w:type="dxa"/>
            <w:tcBorders>
              <w:top w:val="nil"/>
              <w:left w:val="outset" w:color="auto" w:sz="6" w:space="0"/>
              <w:bottom w:val="outset" w:color="auto" w:sz="6" w:space="0"/>
              <w:right w:val="outset" w:color="auto" w:sz="6" w:space="0"/>
            </w:tcBorders>
          </w:tcPr>
          <w:p w14:paraId="6470BD41">
            <w:pPr>
              <w:widowControl w:val="0"/>
              <w:autoSpaceDE w:val="0"/>
              <w:autoSpaceDN w:val="0"/>
              <w:spacing w:before="100" w:beforeAutospacing="0" w:after="0" w:afterAutospacing="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31,2–2000</w:t>
            </w:r>
          </w:p>
        </w:tc>
        <w:tc>
          <w:tcPr>
            <w:tcW w:w="3480" w:type="dxa"/>
            <w:tcBorders>
              <w:top w:val="nil"/>
              <w:left w:val="outset" w:color="auto" w:sz="6" w:space="0"/>
              <w:bottom w:val="outset" w:color="auto" w:sz="6" w:space="0"/>
              <w:right w:val="outset" w:color="auto" w:sz="6" w:space="0"/>
            </w:tcBorders>
          </w:tcPr>
          <w:p w14:paraId="54195176">
            <w:pPr>
              <w:widowControl w:val="0"/>
              <w:autoSpaceDE w:val="0"/>
              <w:autoSpaceDN w:val="0"/>
              <w:spacing w:before="100" w:beforeAutospacing="0" w:after="0" w:afterAutospacing="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11,5</w:t>
            </w:r>
          </w:p>
        </w:tc>
      </w:tr>
      <w:tr w14:paraId="39972428">
        <w:tblPrEx>
          <w:tblCellMar>
            <w:top w:w="15" w:type="dxa"/>
            <w:left w:w="15" w:type="dxa"/>
            <w:bottom w:w="15" w:type="dxa"/>
            <w:right w:w="15" w:type="dxa"/>
          </w:tblCellMar>
        </w:tblPrEx>
        <w:tc>
          <w:tcPr>
            <w:tcW w:w="3480" w:type="dxa"/>
            <w:tcBorders>
              <w:top w:val="nil"/>
              <w:left w:val="outset" w:color="auto" w:sz="6" w:space="0"/>
              <w:bottom w:val="outset" w:color="auto" w:sz="6" w:space="0"/>
              <w:right w:val="outset" w:color="auto" w:sz="6" w:space="0"/>
            </w:tcBorders>
          </w:tcPr>
          <w:p w14:paraId="2539B122">
            <w:pPr>
              <w:widowControl w:val="0"/>
              <w:autoSpaceDE w:val="0"/>
              <w:autoSpaceDN w:val="0"/>
              <w:spacing w:before="100" w:beforeAutospacing="0" w:after="0" w:afterAutospacing="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ИЛ</w:t>
            </w:r>
            <w:r>
              <w:rPr>
                <w:rFonts w:ascii="Times New Roman" w:hAnsi="Times New Roman" w:eastAsia="Times New Roman" w:cs="Times New Roman"/>
                <w:sz w:val="28"/>
                <w:szCs w:val="28"/>
                <w:lang w:val="en-US"/>
              </w:rPr>
              <w:t>–6</w:t>
            </w:r>
          </w:p>
        </w:tc>
        <w:tc>
          <w:tcPr>
            <w:tcW w:w="3480" w:type="dxa"/>
            <w:tcBorders>
              <w:top w:val="nil"/>
              <w:left w:val="outset" w:color="auto" w:sz="6" w:space="0"/>
              <w:bottom w:val="outset" w:color="auto" w:sz="6" w:space="0"/>
              <w:right w:val="outset" w:color="auto" w:sz="6" w:space="0"/>
            </w:tcBorders>
          </w:tcPr>
          <w:p w14:paraId="314D3BE5">
            <w:pPr>
              <w:widowControl w:val="0"/>
              <w:autoSpaceDE w:val="0"/>
              <w:autoSpaceDN w:val="0"/>
              <w:spacing w:before="100" w:beforeAutospacing="0" w:after="0" w:afterAutospacing="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0</w:t>
            </w:r>
            <w:r>
              <w:rPr>
                <w:rFonts w:ascii="Times New Roman" w:hAnsi="Times New Roman" w:eastAsia="Times New Roman" w:cs="Times New Roman"/>
                <w:sz w:val="28"/>
                <w:szCs w:val="28"/>
                <w:lang w:val="en-US"/>
              </w:rPr>
              <w:t>,78–50</w:t>
            </w:r>
          </w:p>
        </w:tc>
        <w:tc>
          <w:tcPr>
            <w:tcW w:w="3480" w:type="dxa"/>
            <w:tcBorders>
              <w:top w:val="nil"/>
              <w:left w:val="outset" w:color="auto" w:sz="6" w:space="0"/>
              <w:bottom w:val="outset" w:color="auto" w:sz="6" w:space="0"/>
              <w:right w:val="outset" w:color="auto" w:sz="6" w:space="0"/>
            </w:tcBorders>
          </w:tcPr>
          <w:p w14:paraId="7AFF9229">
            <w:pPr>
              <w:widowControl w:val="0"/>
              <w:autoSpaceDE w:val="0"/>
              <w:autoSpaceDN w:val="0"/>
              <w:spacing w:before="100" w:beforeAutospacing="0" w:after="0" w:afterAutospacing="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0</w:t>
            </w:r>
            <w:r>
              <w:rPr>
                <w:rFonts w:ascii="Times New Roman" w:hAnsi="Times New Roman" w:eastAsia="Times New Roman" w:cs="Times New Roman"/>
                <w:sz w:val="28"/>
                <w:szCs w:val="28"/>
                <w:lang w:val="en-US"/>
              </w:rPr>
              <w:t>,31</w:t>
            </w:r>
          </w:p>
        </w:tc>
      </w:tr>
      <w:tr w14:paraId="7BE64D6F">
        <w:tblPrEx>
          <w:tblCellMar>
            <w:top w:w="15" w:type="dxa"/>
            <w:left w:w="15" w:type="dxa"/>
            <w:bottom w:w="15" w:type="dxa"/>
            <w:right w:w="15" w:type="dxa"/>
          </w:tblCellMar>
        </w:tblPrEx>
        <w:tc>
          <w:tcPr>
            <w:tcW w:w="3480" w:type="dxa"/>
            <w:tcBorders>
              <w:top w:val="nil"/>
              <w:left w:val="outset" w:color="auto" w:sz="6" w:space="0"/>
              <w:bottom w:val="outset" w:color="auto" w:sz="6" w:space="0"/>
              <w:right w:val="outset" w:color="auto" w:sz="6" w:space="0"/>
            </w:tcBorders>
          </w:tcPr>
          <w:p w14:paraId="7652F6B5">
            <w:pPr>
              <w:widowControl w:val="0"/>
              <w:autoSpaceDE w:val="0"/>
              <w:autoSpaceDN w:val="0"/>
              <w:spacing w:before="100" w:beforeAutospacing="0" w:after="0" w:afterAutospacing="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C</w:t>
            </w:r>
            <w:r>
              <w:rPr>
                <w:rFonts w:ascii="Times New Roman" w:hAnsi="Times New Roman" w:eastAsia="Times New Roman" w:cs="Times New Roman"/>
                <w:sz w:val="28"/>
                <w:szCs w:val="28"/>
                <w:lang w:val="en-US"/>
              </w:rPr>
              <w:t>РА</w:t>
            </w:r>
          </w:p>
        </w:tc>
        <w:tc>
          <w:tcPr>
            <w:tcW w:w="3480" w:type="dxa"/>
            <w:tcBorders>
              <w:top w:val="nil"/>
              <w:left w:val="outset" w:color="auto" w:sz="6" w:space="0"/>
              <w:bottom w:val="outset" w:color="auto" w:sz="6" w:space="0"/>
              <w:right w:val="outset" w:color="auto" w:sz="6" w:space="0"/>
            </w:tcBorders>
          </w:tcPr>
          <w:p w14:paraId="67CF7856">
            <w:pPr>
              <w:widowControl w:val="0"/>
              <w:autoSpaceDE w:val="0"/>
              <w:autoSpaceDN w:val="0"/>
              <w:spacing w:before="100" w:beforeAutospacing="0" w:after="0" w:afterAutospacing="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0.312–20</w:t>
            </w:r>
          </w:p>
        </w:tc>
        <w:tc>
          <w:tcPr>
            <w:tcW w:w="3480" w:type="dxa"/>
            <w:tcBorders>
              <w:top w:val="nil"/>
              <w:left w:val="outset" w:color="auto" w:sz="6" w:space="0"/>
              <w:bottom w:val="outset" w:color="auto" w:sz="6" w:space="0"/>
              <w:right w:val="outset" w:color="auto" w:sz="6" w:space="0"/>
            </w:tcBorders>
          </w:tcPr>
          <w:p w14:paraId="1D485B61">
            <w:pPr>
              <w:widowControl w:val="0"/>
              <w:autoSpaceDE w:val="0"/>
              <w:autoSpaceDN w:val="0"/>
              <w:spacing w:before="100" w:beforeAutospacing="0" w:after="0" w:afterAutospacing="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0,129</w:t>
            </w:r>
          </w:p>
        </w:tc>
      </w:tr>
      <w:tr w14:paraId="70E8837A">
        <w:tblPrEx>
          <w:tblCellMar>
            <w:top w:w="15" w:type="dxa"/>
            <w:left w:w="15" w:type="dxa"/>
            <w:bottom w:w="15" w:type="dxa"/>
            <w:right w:w="15" w:type="dxa"/>
          </w:tblCellMar>
        </w:tblPrEx>
        <w:tc>
          <w:tcPr>
            <w:tcW w:w="3480" w:type="dxa"/>
            <w:tcBorders>
              <w:top w:val="nil"/>
              <w:left w:val="outset" w:color="auto" w:sz="6" w:space="0"/>
              <w:bottom w:val="outset" w:color="auto" w:sz="6" w:space="0"/>
              <w:right w:val="outset" w:color="auto" w:sz="6" w:space="0"/>
            </w:tcBorders>
          </w:tcPr>
          <w:p w14:paraId="4D359A2D">
            <w:pPr>
              <w:widowControl w:val="0"/>
              <w:autoSpaceDE w:val="0"/>
              <w:autoSpaceDN w:val="0"/>
              <w:spacing w:before="100" w:beforeAutospacing="0" w:after="0" w:afterAutospacing="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Ферритин</w:t>
            </w:r>
          </w:p>
        </w:tc>
        <w:tc>
          <w:tcPr>
            <w:tcW w:w="3480" w:type="dxa"/>
            <w:tcBorders>
              <w:top w:val="nil"/>
              <w:left w:val="outset" w:color="auto" w:sz="6" w:space="0"/>
              <w:bottom w:val="outset" w:color="auto" w:sz="6" w:space="0"/>
              <w:right w:val="outset" w:color="auto" w:sz="6" w:space="0"/>
            </w:tcBorders>
          </w:tcPr>
          <w:p w14:paraId="1C689E1F">
            <w:pPr>
              <w:widowControl w:val="0"/>
              <w:autoSpaceDE w:val="0"/>
              <w:autoSpaceDN w:val="0"/>
              <w:spacing w:before="100" w:beforeAutospacing="0" w:after="0" w:afterAutospacing="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0.156–10</w:t>
            </w:r>
          </w:p>
        </w:tc>
        <w:tc>
          <w:tcPr>
            <w:tcW w:w="3480" w:type="dxa"/>
            <w:tcBorders>
              <w:top w:val="nil"/>
              <w:left w:val="outset" w:color="auto" w:sz="6" w:space="0"/>
              <w:bottom w:val="outset" w:color="auto" w:sz="6" w:space="0"/>
              <w:right w:val="outset" w:color="auto" w:sz="6" w:space="0"/>
            </w:tcBorders>
          </w:tcPr>
          <w:p w14:paraId="7486C2B5">
            <w:pPr>
              <w:widowControl w:val="0"/>
              <w:autoSpaceDE w:val="0"/>
              <w:autoSpaceDN w:val="0"/>
              <w:spacing w:before="100" w:beforeAutospacing="0" w:after="0" w:afterAutospacing="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0,061</w:t>
            </w:r>
          </w:p>
        </w:tc>
      </w:tr>
    </w:tbl>
    <w:p w14:paraId="2308C48D">
      <w:pPr>
        <w:widowControl w:val="0"/>
        <w:autoSpaceDE w:val="0"/>
        <w:autoSpaceDN w:val="0"/>
        <w:spacing w:after="0" w:line="276" w:lineRule="auto"/>
        <w:ind w:firstLine="709"/>
        <w:jc w:val="both"/>
        <w:outlineLvl w:val="0"/>
        <w:rPr>
          <w:rFonts w:ascii="Times New Roman" w:hAnsi="Times New Roman" w:eastAsia="Times New Roman" w:cs="Times New Roman"/>
          <w:i/>
          <w:iCs/>
          <w:sz w:val="28"/>
          <w:szCs w:val="28"/>
          <w:lang w:eastAsia="ru-RU"/>
        </w:rPr>
      </w:pPr>
      <w:r>
        <w:rPr>
          <w:rFonts w:ascii="Times New Roman" w:hAnsi="Times New Roman" w:eastAsia="Times New Roman" w:cs="Times New Roman"/>
          <w:i/>
          <w:iCs/>
          <w:sz w:val="28"/>
          <w:szCs w:val="28"/>
          <w:lang w:eastAsia="ru-RU"/>
        </w:rPr>
        <w:t xml:space="preserve"> </w:t>
      </w:r>
    </w:p>
    <w:p w14:paraId="226917FC">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Жиын ішіндегі дәлдік:</w:t>
      </w:r>
    </w:p>
    <w:p w14:paraId="34C9F251">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Антиген деңгейі төмен, орташа және жоғары 3 үлгі бір пластинада 20 рет сыналған: CV&lt;10%.</w:t>
      </w:r>
    </w:p>
    <w:p w14:paraId="4261EA1D">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Жиындар арасындағы дәлдік:</w:t>
      </w:r>
    </w:p>
    <w:p w14:paraId="415F2876">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Төмен, орташа және жоғары антиген деңгейі бар 3 үлгі 8 қайталаудағы 3 пластинада сыналған: CV&lt;12%.</w:t>
      </w:r>
    </w:p>
    <w:p w14:paraId="7AA00D1B">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Ал ерекшеліктеріне тоқталатын болсақ, бұл талдау әдісі маркерлерді анықтауда сезімталдығы өте жоғары және өзіндік ерекшелігі бар. Қан аркерлері арасындаға кедергі келтіретін байланыстарды немесе кедергілерді болдырмайды </w:t>
      </w:r>
      <w:r>
        <w:rPr>
          <w:rFonts w:ascii="Times New Roman" w:hAnsi="Times New Roman" w:eastAsia="Times New Roman" w:cs="Times New Roman"/>
          <w:color w:val="000000"/>
          <w:sz w:val="28"/>
          <w:szCs w:val="28"/>
          <w:lang w:eastAsia="ru-RU"/>
        </w:rPr>
        <w:t>[162]</w:t>
      </w:r>
      <w:r>
        <w:rPr>
          <w:rFonts w:ascii="Times New Roman" w:hAnsi="Times New Roman" w:eastAsia="Times New Roman" w:cs="Times New Roman"/>
          <w:sz w:val="28"/>
          <w:szCs w:val="28"/>
          <w:lang w:eastAsia="ru-RU"/>
        </w:rPr>
        <w:t xml:space="preserve">. </w:t>
      </w:r>
    </w:p>
    <w:p w14:paraId="6923C7A2">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 </w:t>
      </w:r>
    </w:p>
    <w:p w14:paraId="1CAE7163">
      <w:pPr>
        <w:keepNext/>
        <w:keepLines/>
        <w:widowControl w:val="0"/>
        <w:autoSpaceDE w:val="0"/>
        <w:autoSpaceDN w:val="0"/>
        <w:spacing w:after="0" w:line="276" w:lineRule="auto"/>
        <w:ind w:firstLine="709"/>
        <w:jc w:val="both"/>
        <w:outlineLvl w:val="0"/>
        <w:rPr>
          <w:rFonts w:ascii="Times New Roman" w:hAnsi="Times New Roman" w:eastAsia="等线 Light" w:cs="Times New Roman"/>
          <w:b/>
          <w:bCs/>
          <w:color w:val="000000"/>
          <w:sz w:val="28"/>
          <w:szCs w:val="28"/>
          <w:lang w:eastAsia="ru-RU"/>
        </w:rPr>
      </w:pPr>
      <w:r>
        <w:rPr>
          <w:rFonts w:ascii="Times New Roman" w:hAnsi="Times New Roman" w:eastAsia="等线 Light" w:cs="Times New Roman"/>
          <w:b/>
          <w:bCs/>
          <w:color w:val="000000"/>
          <w:sz w:val="28"/>
          <w:szCs w:val="28"/>
          <w:lang w:eastAsia="ru-RU"/>
        </w:rPr>
        <w:t>2.5 Зерттеу жұмысының нәтижелері бойынша статистикалық талдау жүргізу жұмыстары</w:t>
      </w:r>
    </w:p>
    <w:p w14:paraId="6B40AD24">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 </w:t>
      </w:r>
    </w:p>
    <w:p w14:paraId="2B3F378A">
      <w:pPr>
        <w:widowControl w:val="0"/>
        <w:autoSpaceDE w:val="0"/>
        <w:autoSpaceDN w:val="0"/>
        <w:spacing w:after="0" w:line="276" w:lineRule="auto"/>
        <w:ind w:firstLine="709"/>
        <w:jc w:val="both"/>
        <w:outlineLvl w:val="0"/>
        <w:rPr>
          <w:rFonts w:ascii="Times New Roman" w:hAnsi="Times New Roman" w:eastAsia="Times New Roman" w:cs="Times New Roman"/>
          <w:color w:val="000000"/>
          <w:sz w:val="28"/>
          <w:szCs w:val="28"/>
          <w:lang w:eastAsia="ru-RU"/>
        </w:rPr>
      </w:pPr>
      <w:r>
        <w:rPr>
          <w:rFonts w:ascii="Times New Roman" w:hAnsi="Times New Roman" w:eastAsia="Times New Roman" w:cs="Times New Roman"/>
          <w:sz w:val="28"/>
          <w:szCs w:val="28"/>
          <w:lang w:eastAsia="ru-RU"/>
        </w:rPr>
        <w:t xml:space="preserve">Зерттеу нәтижелерін статистикалық өңдеу STATISTICA 13.3, </w:t>
      </w:r>
      <w:r>
        <w:rPr>
          <w:rFonts w:ascii="Times New Roman" w:hAnsi="Times New Roman" w:eastAsia="等线 Light" w:cs="Times New Roman"/>
          <w:color w:val="000000"/>
          <w:sz w:val="28"/>
          <w:szCs w:val="28"/>
          <w:lang w:eastAsia="ru-RU"/>
        </w:rPr>
        <w:t xml:space="preserve">SPSS 30.0. </w:t>
      </w:r>
      <w:r>
        <w:rPr>
          <w:rFonts w:ascii="Times New Roman" w:hAnsi="Times New Roman" w:eastAsia="Times New Roman" w:cs="Times New Roman"/>
          <w:sz w:val="28"/>
          <w:szCs w:val="28"/>
          <w:lang w:eastAsia="ru-RU"/>
        </w:rPr>
        <w:t xml:space="preserve"> бағдарламаларын қолдану арқылы жүзеге асырылды. Үлестірудің қалыптылығын тексеру кезінде сипаттамалық статистика әдістері, Шапиро–Уилко критерийіне түзетілген Колмогоров–Смирнов өлшемдері қолданылды. Есептелген критерийлердің статистикалық маңыздылығының мәндері 0,05 (p&gt;0,05) асып кеткен жағдайда, нақты болу ресми түрде қалыптыдан өзгеше болып саналмады. Орташа тенденциялар орташа және стандартты ауытқумен сипатталды</w:t>
      </w:r>
      <w:r>
        <w:rPr>
          <w:rFonts w:ascii="Times New Roman" w:hAnsi="Times New Roman" w:eastAsia="Times New Roman" w:cs="Times New Roman"/>
          <w:sz w:val="28"/>
          <w:szCs w:val="28"/>
          <w:lang w:val="kk-KZ" w:eastAsia="ru-RU"/>
        </w:rPr>
        <w:t>.</w:t>
      </w:r>
      <w:r>
        <w:rPr>
          <w:rFonts w:ascii="Times New Roman" w:hAnsi="Times New Roman" w:eastAsia="Times New Roman" w:cs="Times New Roman"/>
          <w:sz w:val="28"/>
          <w:szCs w:val="28"/>
          <w:lang w:eastAsia="ru-RU"/>
        </w:rPr>
        <w:t xml:space="preserve">  Краскел–Уоллес критерийі төрт топт</w:t>
      </w:r>
      <w:r>
        <w:rPr>
          <w:rFonts w:ascii="Times New Roman" w:hAnsi="Times New Roman" w:eastAsia="Times New Roman" w:cs="Times New Roman"/>
          <w:sz w:val="28"/>
          <w:szCs w:val="28"/>
          <w:lang w:val="kk-KZ" w:eastAsia="ru-RU"/>
        </w:rPr>
        <w:t>ы</w:t>
      </w:r>
      <w:r>
        <w:rPr>
          <w:rFonts w:ascii="Times New Roman" w:hAnsi="Times New Roman" w:eastAsia="Times New Roman" w:cs="Times New Roman"/>
          <w:sz w:val="28"/>
          <w:szCs w:val="28"/>
          <w:lang w:eastAsia="ru-RU"/>
        </w:rPr>
        <w:t xml:space="preserve"> салыстырғанда қолданылды және топарлық жұптық тексерулер үшін Манн–Уитни Z критерийі арқылы анықталды. Айырмашылықтар p&lt;0,05 кезінде статистикалық маңызды болып саналды. Сапалы деректерді талдау бір–біріне тәуелсіз төрт топ болғандықтан Пирсонның Хи–квадрат критерийі және Фишердің нақты критерийі қолданылды көмегімен жүзеге асырылды. Корреляциялық талдау жүргізу </w:t>
      </w:r>
      <w:r>
        <w:rPr>
          <w:rFonts w:ascii="Times New Roman" w:hAnsi="Times New Roman" w:eastAsia="Times New Roman" w:cs="Times New Roman"/>
          <w:color w:val="000000"/>
          <w:sz w:val="28"/>
          <w:szCs w:val="28"/>
          <w:lang w:eastAsia="ru-RU"/>
        </w:rPr>
        <w:t>үшін Спирманның дәрежелік корреляция әдісі қолданылды. Зерттеу барысында тәуелсіз айнымалылардың тәуелді айнымалыға әсерін болжау үшін регрессиондық талдау жүргізілді. Тәуелді айнымалыға әсер ететін бірнеше факторлардың ықпалын бағалау үшін көптік сызықтық регрессия қолданылды. Модель сапасын бағалау үшін детерминация коэффициенті (R²) және жеке коэффициенттердің статистикалық маңыздылығы есептелді. Бинарлық сипаттағы тәуелді айнымалы үшін, оның маңыздылығын болжау үшін логистикалық регрессия қолданылды. Логистикалық регрессия нәтижесінде тәуелсіз айнымалылардың тәуелді айнымалыға әсері шанстар коэффициенттері арқылы көрсетілді. Модель сапасын бағалау үшін қисық астындағы аумақ (AUC) көрсеткіші және Хосмер–Лемешов тесті қолданылды.</w:t>
      </w:r>
    </w:p>
    <w:p w14:paraId="33426D8B">
      <w:pPr>
        <w:widowControl w:val="0"/>
        <w:autoSpaceDE w:val="0"/>
        <w:autoSpaceDN w:val="0"/>
        <w:spacing w:after="0" w:line="276" w:lineRule="auto"/>
        <w:ind w:firstLine="709"/>
        <w:jc w:val="both"/>
        <w:outlineLvl w:val="0"/>
        <w:rPr>
          <w:rFonts w:ascii="Times New Roman" w:hAnsi="Times New Roman" w:eastAsia="Times New Roman" w:cs="Times New Roman"/>
          <w:color w:val="000000"/>
          <w:sz w:val="28"/>
          <w:szCs w:val="28"/>
          <w:lang w:eastAsia="ru-RU"/>
        </w:rPr>
      </w:pPr>
      <w:r>
        <w:rPr>
          <w:rFonts w:ascii="Times New Roman" w:hAnsi="Times New Roman" w:eastAsia="Times New Roman" w:cs="Times New Roman"/>
          <w:color w:val="000000"/>
          <w:sz w:val="28"/>
          <w:szCs w:val="28"/>
          <w:lang w:eastAsia="ru-RU"/>
        </w:rPr>
        <w:t xml:space="preserve"> </w:t>
      </w:r>
    </w:p>
    <w:p w14:paraId="1671411E">
      <w:pPr>
        <w:widowControl w:val="0"/>
        <w:autoSpaceDE w:val="0"/>
        <w:autoSpaceDN w:val="0"/>
        <w:spacing w:after="0" w:line="276" w:lineRule="auto"/>
        <w:ind w:firstLine="709"/>
        <w:jc w:val="both"/>
        <w:outlineLvl w:val="0"/>
        <w:rPr>
          <w:rFonts w:ascii="Times New Roman" w:hAnsi="Times New Roman" w:eastAsia="Times New Roman" w:cs="Times New Roman"/>
          <w:b/>
          <w:bCs/>
          <w:color w:val="000000"/>
          <w:sz w:val="28"/>
          <w:szCs w:val="28"/>
          <w:lang w:eastAsia="ru-RU"/>
        </w:rPr>
      </w:pPr>
      <w:r>
        <w:rPr>
          <w:rFonts w:ascii="Times New Roman" w:hAnsi="Times New Roman" w:eastAsia="Times New Roman" w:cs="Times New Roman"/>
          <w:b/>
          <w:bCs/>
          <w:color w:val="000000"/>
          <w:sz w:val="28"/>
          <w:szCs w:val="28"/>
          <w:lang w:eastAsia="ru-RU"/>
        </w:rPr>
        <w:t>2.6 Зерттеу жұмысына этикалық мақұлдау жүргізу</w:t>
      </w:r>
    </w:p>
    <w:p w14:paraId="11DBEAA7">
      <w:pPr>
        <w:widowControl w:val="0"/>
        <w:autoSpaceDE w:val="0"/>
        <w:autoSpaceDN w:val="0"/>
        <w:spacing w:after="0" w:line="276" w:lineRule="auto"/>
        <w:ind w:firstLine="709"/>
        <w:jc w:val="both"/>
        <w:outlineLvl w:val="0"/>
        <w:rPr>
          <w:rFonts w:ascii="Times New Roman" w:hAnsi="Times New Roman" w:eastAsia="Times New Roman" w:cs="Times New Roman"/>
          <w:b/>
          <w:bCs/>
          <w:color w:val="000000"/>
          <w:sz w:val="28"/>
          <w:szCs w:val="28"/>
          <w:lang w:eastAsia="ru-RU"/>
        </w:rPr>
      </w:pPr>
      <w:r>
        <w:rPr>
          <w:rFonts w:ascii="Times New Roman" w:hAnsi="Times New Roman" w:eastAsia="Times New Roman" w:cs="Times New Roman"/>
          <w:b/>
          <w:bCs/>
          <w:color w:val="000000"/>
          <w:sz w:val="28"/>
          <w:szCs w:val="28"/>
          <w:lang w:eastAsia="ru-RU"/>
        </w:rPr>
        <w:t xml:space="preserve"> </w:t>
      </w:r>
    </w:p>
    <w:p w14:paraId="3CC5B879">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color w:val="000000"/>
          <w:sz w:val="28"/>
          <w:szCs w:val="28"/>
          <w:lang w:eastAsia="ru-RU"/>
        </w:rPr>
        <w:t xml:space="preserve">Зерттеу жұмысына этикалық тұрғыдан мақұлдау алу КеАҚ «Қарағанды </w:t>
      </w:r>
      <w:r>
        <w:rPr>
          <w:rFonts w:ascii="Times New Roman" w:hAnsi="Times New Roman" w:eastAsia="Times New Roman" w:cs="Times New Roman"/>
          <w:sz w:val="28"/>
          <w:szCs w:val="28"/>
          <w:lang w:eastAsia="ru-RU"/>
        </w:rPr>
        <w:t>Медицина Университет»–нің Биоэтика Комитетінде №14 отырысындағы шешімі бойынша 2021 жылдың 8 ақпанында мақұлданды. Зерттеуге қатысушы жүктілер зерттеу жұмысының мақсататымен таныстырылып және жазбаша ақпараттық келісімдері қол қою арқылы алынды. Зерттеуге қатықан жүктілер туралы барлық мәліметтер электронды базаға тіркелді, және әрбір қатысушының идентификациясы кодпен алмастылылды.</w:t>
      </w:r>
    </w:p>
    <w:p w14:paraId="63BB92BA">
      <w:pPr>
        <w:widowControl w:val="0"/>
        <w:autoSpaceDE w:val="0"/>
        <w:autoSpaceDN w:val="0"/>
        <w:spacing w:after="0" w:line="276" w:lineRule="auto"/>
        <w:ind w:firstLine="709"/>
        <w:jc w:val="center"/>
        <w:outlineLvl w:val="0"/>
        <w:rPr>
          <w:rFonts w:ascii="Times New Roman" w:hAnsi="Times New Roman" w:eastAsia="Times New Roman" w:cs="Times New Roman"/>
          <w:b/>
          <w:sz w:val="28"/>
          <w:szCs w:val="28"/>
          <w:lang w:val="en-US" w:eastAsia="ru-RU"/>
        </w:rPr>
      </w:pPr>
    </w:p>
    <w:p w14:paraId="4911A5C1">
      <w:pPr>
        <w:widowControl w:val="0"/>
        <w:autoSpaceDE w:val="0"/>
        <w:autoSpaceDN w:val="0"/>
        <w:spacing w:after="0" w:line="276" w:lineRule="auto"/>
        <w:ind w:firstLine="709"/>
        <w:jc w:val="center"/>
        <w:outlineLvl w:val="0"/>
        <w:rPr>
          <w:rFonts w:ascii="Times New Roman" w:hAnsi="Times New Roman" w:eastAsia="Times New Roman" w:cs="Times New Roman"/>
          <w:b/>
          <w:sz w:val="28"/>
          <w:szCs w:val="28"/>
          <w:lang w:val="en-US" w:eastAsia="ru-RU"/>
        </w:rPr>
      </w:pPr>
    </w:p>
    <w:p w14:paraId="2812D2BD">
      <w:pPr>
        <w:widowControl w:val="0"/>
        <w:autoSpaceDE w:val="0"/>
        <w:autoSpaceDN w:val="0"/>
        <w:spacing w:after="0" w:line="276" w:lineRule="auto"/>
        <w:ind w:firstLine="709"/>
        <w:jc w:val="center"/>
        <w:outlineLvl w:val="0"/>
        <w:rPr>
          <w:rFonts w:ascii="Times New Roman" w:hAnsi="Times New Roman" w:eastAsia="Times New Roman" w:cs="Times New Roman"/>
          <w:b/>
          <w:sz w:val="28"/>
          <w:szCs w:val="28"/>
          <w:lang w:val="en-US" w:eastAsia="ru-RU"/>
        </w:rPr>
      </w:pPr>
    </w:p>
    <w:p w14:paraId="6B9C432F">
      <w:pPr>
        <w:widowControl w:val="0"/>
        <w:autoSpaceDE w:val="0"/>
        <w:autoSpaceDN w:val="0"/>
        <w:spacing w:after="0" w:line="276" w:lineRule="auto"/>
        <w:ind w:firstLine="709"/>
        <w:jc w:val="center"/>
        <w:outlineLvl w:val="0"/>
        <w:rPr>
          <w:rFonts w:ascii="Times New Roman" w:hAnsi="Times New Roman" w:eastAsia="Times New Roman" w:cs="Times New Roman"/>
          <w:b/>
          <w:sz w:val="28"/>
          <w:szCs w:val="28"/>
          <w:lang w:val="en-US" w:eastAsia="ru-RU"/>
        </w:rPr>
      </w:pPr>
    </w:p>
    <w:p w14:paraId="791943B4">
      <w:pPr>
        <w:widowControl w:val="0"/>
        <w:autoSpaceDE w:val="0"/>
        <w:autoSpaceDN w:val="0"/>
        <w:spacing w:after="0" w:line="276" w:lineRule="auto"/>
        <w:ind w:firstLine="709"/>
        <w:jc w:val="center"/>
        <w:outlineLvl w:val="0"/>
        <w:rPr>
          <w:rFonts w:ascii="Times New Roman" w:hAnsi="Times New Roman" w:eastAsia="Times New Roman" w:cs="Times New Roman"/>
          <w:b/>
          <w:sz w:val="28"/>
          <w:szCs w:val="28"/>
          <w:lang w:val="en-US" w:eastAsia="ru-RU"/>
        </w:rPr>
      </w:pPr>
    </w:p>
    <w:p w14:paraId="01C200D1">
      <w:pPr>
        <w:widowControl w:val="0"/>
        <w:autoSpaceDE w:val="0"/>
        <w:autoSpaceDN w:val="0"/>
        <w:spacing w:after="0" w:line="276" w:lineRule="auto"/>
        <w:ind w:firstLine="709"/>
        <w:jc w:val="center"/>
        <w:outlineLvl w:val="0"/>
        <w:rPr>
          <w:rFonts w:ascii="Times New Roman" w:hAnsi="Times New Roman" w:eastAsia="Times New Roman" w:cs="Times New Roman"/>
          <w:b/>
          <w:sz w:val="28"/>
          <w:szCs w:val="28"/>
          <w:lang w:val="en-US" w:eastAsia="ru-RU"/>
        </w:rPr>
      </w:pPr>
    </w:p>
    <w:p w14:paraId="20805634">
      <w:pPr>
        <w:widowControl w:val="0"/>
        <w:autoSpaceDE w:val="0"/>
        <w:autoSpaceDN w:val="0"/>
        <w:spacing w:after="0" w:line="276" w:lineRule="auto"/>
        <w:ind w:firstLine="709"/>
        <w:jc w:val="center"/>
        <w:outlineLvl w:val="0"/>
        <w:rPr>
          <w:rFonts w:ascii="Times New Roman" w:hAnsi="Times New Roman" w:eastAsia="Times New Roman" w:cs="Times New Roman"/>
          <w:b/>
          <w:sz w:val="28"/>
          <w:szCs w:val="28"/>
          <w:lang w:val="en-US" w:eastAsia="ru-RU"/>
        </w:rPr>
      </w:pPr>
    </w:p>
    <w:p w14:paraId="244D3E9A">
      <w:pPr>
        <w:widowControl w:val="0"/>
        <w:autoSpaceDE w:val="0"/>
        <w:autoSpaceDN w:val="0"/>
        <w:spacing w:after="0" w:line="276" w:lineRule="auto"/>
        <w:ind w:firstLine="709"/>
        <w:jc w:val="center"/>
        <w:outlineLvl w:val="0"/>
        <w:rPr>
          <w:rFonts w:ascii="Times New Roman" w:hAnsi="Times New Roman" w:eastAsia="Times New Roman" w:cs="Times New Roman"/>
          <w:b/>
          <w:sz w:val="28"/>
          <w:szCs w:val="28"/>
          <w:lang w:val="en-US" w:eastAsia="ru-RU"/>
        </w:rPr>
      </w:pPr>
    </w:p>
    <w:p w14:paraId="5781D428">
      <w:pPr>
        <w:widowControl w:val="0"/>
        <w:autoSpaceDE w:val="0"/>
        <w:autoSpaceDN w:val="0"/>
        <w:spacing w:after="0" w:line="276" w:lineRule="auto"/>
        <w:ind w:firstLine="709"/>
        <w:jc w:val="center"/>
        <w:outlineLvl w:val="0"/>
        <w:rPr>
          <w:rFonts w:ascii="Times New Roman" w:hAnsi="Times New Roman" w:eastAsia="Times New Roman" w:cs="Times New Roman"/>
          <w:b/>
          <w:sz w:val="28"/>
          <w:szCs w:val="28"/>
          <w:lang w:val="en-US" w:eastAsia="ru-RU"/>
        </w:rPr>
      </w:pPr>
    </w:p>
    <w:p w14:paraId="224291EF">
      <w:pPr>
        <w:widowControl w:val="0"/>
        <w:autoSpaceDE w:val="0"/>
        <w:autoSpaceDN w:val="0"/>
        <w:spacing w:after="0" w:line="276" w:lineRule="auto"/>
        <w:ind w:firstLine="709"/>
        <w:jc w:val="center"/>
        <w:outlineLvl w:val="0"/>
        <w:rPr>
          <w:rFonts w:ascii="Times New Roman" w:hAnsi="Times New Roman" w:eastAsia="Times New Roman" w:cs="Times New Roman"/>
          <w:b/>
          <w:sz w:val="28"/>
          <w:szCs w:val="28"/>
          <w:lang w:val="en-US" w:eastAsia="ru-RU"/>
        </w:rPr>
      </w:pPr>
    </w:p>
    <w:p w14:paraId="41627E92">
      <w:pPr>
        <w:widowControl w:val="0"/>
        <w:autoSpaceDE w:val="0"/>
        <w:autoSpaceDN w:val="0"/>
        <w:spacing w:after="0" w:line="276" w:lineRule="auto"/>
        <w:ind w:firstLine="709"/>
        <w:jc w:val="center"/>
        <w:outlineLvl w:val="0"/>
        <w:rPr>
          <w:rFonts w:ascii="Times New Roman" w:hAnsi="Times New Roman" w:eastAsia="Times New Roman" w:cs="Times New Roman"/>
          <w:b/>
          <w:sz w:val="28"/>
          <w:szCs w:val="28"/>
          <w:lang w:val="en-US" w:eastAsia="ru-RU"/>
        </w:rPr>
      </w:pPr>
    </w:p>
    <w:p w14:paraId="62F97FA3">
      <w:pPr>
        <w:widowControl w:val="0"/>
        <w:autoSpaceDE w:val="0"/>
        <w:autoSpaceDN w:val="0"/>
        <w:spacing w:after="0" w:line="276" w:lineRule="auto"/>
        <w:ind w:firstLine="709"/>
        <w:jc w:val="center"/>
        <w:outlineLvl w:val="0"/>
        <w:rPr>
          <w:rFonts w:ascii="Times New Roman" w:hAnsi="Times New Roman" w:eastAsia="Times New Roman" w:cs="Times New Roman"/>
          <w:b/>
          <w:sz w:val="28"/>
          <w:szCs w:val="28"/>
          <w:lang w:val="en-US" w:eastAsia="ru-RU"/>
        </w:rPr>
      </w:pPr>
    </w:p>
    <w:p w14:paraId="1847B9FA">
      <w:pPr>
        <w:widowControl w:val="0"/>
        <w:autoSpaceDE w:val="0"/>
        <w:autoSpaceDN w:val="0"/>
        <w:spacing w:after="0" w:line="276" w:lineRule="auto"/>
        <w:ind w:firstLine="709"/>
        <w:jc w:val="center"/>
        <w:outlineLvl w:val="0"/>
        <w:rPr>
          <w:rFonts w:ascii="Times New Roman" w:hAnsi="Times New Roman" w:eastAsia="Times New Roman" w:cs="Times New Roman"/>
          <w:b/>
          <w:sz w:val="28"/>
          <w:szCs w:val="28"/>
          <w:lang w:val="en-US" w:eastAsia="ru-RU"/>
        </w:rPr>
      </w:pPr>
    </w:p>
    <w:p w14:paraId="75C3EC18">
      <w:pPr>
        <w:widowControl w:val="0"/>
        <w:autoSpaceDE w:val="0"/>
        <w:autoSpaceDN w:val="0"/>
        <w:spacing w:after="0" w:line="276" w:lineRule="auto"/>
        <w:ind w:firstLine="709"/>
        <w:jc w:val="center"/>
        <w:outlineLvl w:val="0"/>
        <w:rPr>
          <w:rFonts w:ascii="Times New Roman" w:hAnsi="Times New Roman" w:eastAsia="Times New Roman" w:cs="Times New Roman"/>
          <w:b/>
          <w:sz w:val="28"/>
          <w:szCs w:val="28"/>
          <w:lang w:val="en-US" w:eastAsia="ru-RU"/>
        </w:rPr>
      </w:pPr>
    </w:p>
    <w:p w14:paraId="3FE53502">
      <w:pPr>
        <w:widowControl w:val="0"/>
        <w:autoSpaceDE w:val="0"/>
        <w:autoSpaceDN w:val="0"/>
        <w:spacing w:after="0" w:line="276" w:lineRule="auto"/>
        <w:ind w:firstLine="709"/>
        <w:jc w:val="center"/>
        <w:outlineLvl w:val="0"/>
        <w:rPr>
          <w:rFonts w:ascii="Times New Roman" w:hAnsi="Times New Roman" w:eastAsia="Times New Roman" w:cs="Times New Roman"/>
          <w:b/>
          <w:sz w:val="28"/>
          <w:szCs w:val="28"/>
          <w:lang w:val="en-US" w:eastAsia="ru-RU"/>
        </w:rPr>
      </w:pPr>
    </w:p>
    <w:p w14:paraId="27AD0697">
      <w:pPr>
        <w:widowControl w:val="0"/>
        <w:autoSpaceDE w:val="0"/>
        <w:autoSpaceDN w:val="0"/>
        <w:spacing w:after="0" w:line="276" w:lineRule="auto"/>
        <w:ind w:firstLine="709"/>
        <w:jc w:val="center"/>
        <w:outlineLvl w:val="0"/>
        <w:rPr>
          <w:rFonts w:ascii="Times New Roman" w:hAnsi="Times New Roman" w:eastAsia="Times New Roman" w:cs="Times New Roman"/>
          <w:b/>
          <w:sz w:val="28"/>
          <w:szCs w:val="28"/>
          <w:lang w:val="en-US" w:eastAsia="ru-RU"/>
        </w:rPr>
      </w:pPr>
    </w:p>
    <w:p w14:paraId="43C877AE">
      <w:pPr>
        <w:widowControl w:val="0"/>
        <w:autoSpaceDE w:val="0"/>
        <w:autoSpaceDN w:val="0"/>
        <w:spacing w:after="0" w:line="276" w:lineRule="auto"/>
        <w:ind w:firstLine="709"/>
        <w:jc w:val="center"/>
        <w:outlineLvl w:val="0"/>
        <w:rPr>
          <w:rFonts w:ascii="Times New Roman" w:hAnsi="Times New Roman" w:eastAsia="Times New Roman" w:cs="Times New Roman"/>
          <w:b/>
          <w:sz w:val="28"/>
          <w:szCs w:val="28"/>
          <w:lang w:val="en-US" w:eastAsia="ru-RU"/>
        </w:rPr>
      </w:pPr>
    </w:p>
    <w:p w14:paraId="50547EFF">
      <w:pPr>
        <w:widowControl w:val="0"/>
        <w:autoSpaceDE w:val="0"/>
        <w:autoSpaceDN w:val="0"/>
        <w:spacing w:after="0" w:line="276" w:lineRule="auto"/>
        <w:ind w:firstLine="709"/>
        <w:jc w:val="center"/>
        <w:outlineLvl w:val="0"/>
        <w:rPr>
          <w:rFonts w:ascii="Times New Roman" w:hAnsi="Times New Roman" w:eastAsia="Times New Roman" w:cs="Times New Roman"/>
          <w:b/>
          <w:sz w:val="28"/>
          <w:szCs w:val="28"/>
          <w:lang w:val="en-US" w:eastAsia="ru-RU"/>
        </w:rPr>
      </w:pPr>
    </w:p>
    <w:p w14:paraId="36424071">
      <w:pPr>
        <w:widowControl w:val="0"/>
        <w:autoSpaceDE w:val="0"/>
        <w:autoSpaceDN w:val="0"/>
        <w:spacing w:after="0" w:line="276" w:lineRule="auto"/>
        <w:ind w:firstLine="709"/>
        <w:jc w:val="center"/>
        <w:outlineLvl w:val="0"/>
        <w:rPr>
          <w:rFonts w:ascii="Times New Roman" w:hAnsi="Times New Roman" w:eastAsia="Times New Roman" w:cs="Times New Roman"/>
          <w:b/>
          <w:sz w:val="28"/>
          <w:szCs w:val="28"/>
          <w:lang w:val="en-US" w:eastAsia="ru-RU"/>
        </w:rPr>
      </w:pPr>
    </w:p>
    <w:p w14:paraId="131D9B30">
      <w:pPr>
        <w:widowControl w:val="0"/>
        <w:autoSpaceDE w:val="0"/>
        <w:autoSpaceDN w:val="0"/>
        <w:spacing w:after="0" w:line="276" w:lineRule="auto"/>
        <w:ind w:firstLine="709"/>
        <w:jc w:val="center"/>
        <w:outlineLvl w:val="0"/>
        <w:rPr>
          <w:rFonts w:ascii="Times New Roman" w:hAnsi="Times New Roman" w:eastAsia="Times New Roman" w:cs="Times New Roman"/>
          <w:b/>
          <w:sz w:val="28"/>
          <w:szCs w:val="28"/>
          <w:lang w:val="en-US" w:eastAsia="ru-RU"/>
        </w:rPr>
      </w:pPr>
    </w:p>
    <w:p w14:paraId="25C06A84">
      <w:pPr>
        <w:widowControl w:val="0"/>
        <w:autoSpaceDE w:val="0"/>
        <w:autoSpaceDN w:val="0"/>
        <w:spacing w:after="0" w:line="276" w:lineRule="auto"/>
        <w:ind w:firstLine="709"/>
        <w:jc w:val="center"/>
        <w:outlineLvl w:val="0"/>
        <w:rPr>
          <w:rFonts w:ascii="Times New Roman" w:hAnsi="Times New Roman" w:eastAsia="Times New Roman" w:cs="Times New Roman"/>
          <w:b/>
          <w:sz w:val="28"/>
          <w:szCs w:val="28"/>
          <w:lang w:val="en-US" w:eastAsia="ru-RU"/>
        </w:rPr>
      </w:pPr>
    </w:p>
    <w:p w14:paraId="58B05BF8">
      <w:pPr>
        <w:widowControl w:val="0"/>
        <w:autoSpaceDE w:val="0"/>
        <w:autoSpaceDN w:val="0"/>
        <w:spacing w:after="0" w:line="276" w:lineRule="auto"/>
        <w:ind w:firstLine="709"/>
        <w:jc w:val="center"/>
        <w:outlineLvl w:val="0"/>
        <w:rPr>
          <w:rFonts w:ascii="Times New Roman" w:hAnsi="Times New Roman" w:eastAsia="Times New Roman" w:cs="Times New Roman"/>
          <w:b/>
          <w:sz w:val="28"/>
          <w:szCs w:val="28"/>
          <w:lang w:val="en-US" w:eastAsia="ru-RU"/>
        </w:rPr>
      </w:pPr>
    </w:p>
    <w:p w14:paraId="1FF6AF70">
      <w:pPr>
        <w:widowControl w:val="0"/>
        <w:autoSpaceDE w:val="0"/>
        <w:autoSpaceDN w:val="0"/>
        <w:spacing w:after="0" w:line="276" w:lineRule="auto"/>
        <w:ind w:firstLine="709"/>
        <w:jc w:val="center"/>
        <w:outlineLvl w:val="0"/>
        <w:rPr>
          <w:rFonts w:ascii="Times New Roman" w:hAnsi="Times New Roman" w:eastAsia="Times New Roman" w:cs="Times New Roman"/>
          <w:b/>
          <w:sz w:val="28"/>
          <w:szCs w:val="28"/>
          <w:lang w:val="en-US" w:eastAsia="ru-RU"/>
        </w:rPr>
      </w:pPr>
    </w:p>
    <w:p w14:paraId="21558E78">
      <w:pPr>
        <w:widowControl w:val="0"/>
        <w:autoSpaceDE w:val="0"/>
        <w:autoSpaceDN w:val="0"/>
        <w:spacing w:after="0" w:line="276" w:lineRule="auto"/>
        <w:ind w:firstLine="709"/>
        <w:jc w:val="center"/>
        <w:outlineLvl w:val="0"/>
        <w:rPr>
          <w:rFonts w:ascii="Times New Roman" w:hAnsi="Times New Roman" w:eastAsia="Times New Roman" w:cs="Times New Roman"/>
          <w:b/>
          <w:sz w:val="28"/>
          <w:szCs w:val="28"/>
          <w:lang w:val="en-US" w:eastAsia="ru-RU"/>
        </w:rPr>
      </w:pPr>
    </w:p>
    <w:p w14:paraId="36851CEE">
      <w:pPr>
        <w:widowControl w:val="0"/>
        <w:autoSpaceDE w:val="0"/>
        <w:autoSpaceDN w:val="0"/>
        <w:spacing w:after="0" w:line="276" w:lineRule="auto"/>
        <w:ind w:firstLine="709"/>
        <w:jc w:val="center"/>
        <w:outlineLvl w:val="0"/>
        <w:rPr>
          <w:rFonts w:ascii="Times New Roman" w:hAnsi="Times New Roman" w:eastAsia="Times New Roman" w:cs="Times New Roman"/>
          <w:b/>
          <w:sz w:val="28"/>
          <w:szCs w:val="28"/>
          <w:lang w:val="en-US" w:eastAsia="ru-RU"/>
        </w:rPr>
      </w:pPr>
    </w:p>
    <w:p w14:paraId="2E34E2F3">
      <w:pPr>
        <w:widowControl w:val="0"/>
        <w:autoSpaceDE w:val="0"/>
        <w:autoSpaceDN w:val="0"/>
        <w:spacing w:after="0" w:line="276" w:lineRule="auto"/>
        <w:ind w:firstLine="709"/>
        <w:jc w:val="center"/>
        <w:outlineLvl w:val="0"/>
        <w:rPr>
          <w:rFonts w:ascii="Times New Roman" w:hAnsi="Times New Roman" w:eastAsia="Times New Roman" w:cs="Times New Roman"/>
          <w:b/>
          <w:sz w:val="28"/>
          <w:szCs w:val="28"/>
          <w:lang w:val="en-US" w:eastAsia="ru-RU"/>
        </w:rPr>
      </w:pPr>
    </w:p>
    <w:p w14:paraId="15626E7A">
      <w:pPr>
        <w:widowControl w:val="0"/>
        <w:autoSpaceDE w:val="0"/>
        <w:autoSpaceDN w:val="0"/>
        <w:spacing w:after="0" w:line="276" w:lineRule="auto"/>
        <w:ind w:firstLine="709"/>
        <w:jc w:val="center"/>
        <w:outlineLvl w:val="0"/>
        <w:rPr>
          <w:rFonts w:ascii="Times New Roman" w:hAnsi="Times New Roman" w:eastAsia="Times New Roman" w:cs="Times New Roman"/>
          <w:b/>
          <w:sz w:val="28"/>
          <w:szCs w:val="28"/>
          <w:lang w:val="en-US" w:eastAsia="ru-RU"/>
        </w:rPr>
      </w:pPr>
    </w:p>
    <w:p w14:paraId="171426EE">
      <w:pPr>
        <w:widowControl w:val="0"/>
        <w:autoSpaceDE w:val="0"/>
        <w:autoSpaceDN w:val="0"/>
        <w:spacing w:after="0" w:line="276" w:lineRule="auto"/>
        <w:ind w:firstLine="709"/>
        <w:jc w:val="center"/>
        <w:outlineLvl w:val="0"/>
        <w:rPr>
          <w:rFonts w:ascii="Times New Roman" w:hAnsi="Times New Roman" w:eastAsia="Times New Roman" w:cs="Times New Roman"/>
          <w:b/>
          <w:sz w:val="28"/>
          <w:szCs w:val="28"/>
          <w:lang w:val="en-US" w:eastAsia="ru-RU"/>
        </w:rPr>
      </w:pPr>
    </w:p>
    <w:p w14:paraId="469F39C2">
      <w:pPr>
        <w:widowControl w:val="0"/>
        <w:autoSpaceDE w:val="0"/>
        <w:autoSpaceDN w:val="0"/>
        <w:spacing w:after="0" w:line="276" w:lineRule="auto"/>
        <w:ind w:firstLine="709"/>
        <w:jc w:val="center"/>
        <w:outlineLvl w:val="0"/>
        <w:rPr>
          <w:rFonts w:ascii="Times New Roman" w:hAnsi="Times New Roman" w:eastAsia="Times New Roman" w:cs="Times New Roman"/>
          <w:b/>
          <w:sz w:val="28"/>
          <w:szCs w:val="28"/>
          <w:lang w:val="en-US" w:eastAsia="ru-RU"/>
        </w:rPr>
      </w:pPr>
    </w:p>
    <w:p w14:paraId="07061176">
      <w:pPr>
        <w:widowControl w:val="0"/>
        <w:autoSpaceDE w:val="0"/>
        <w:autoSpaceDN w:val="0"/>
        <w:spacing w:after="0" w:line="276" w:lineRule="auto"/>
        <w:ind w:firstLine="709"/>
        <w:jc w:val="center"/>
        <w:outlineLvl w:val="0"/>
        <w:rPr>
          <w:rFonts w:ascii="Times New Roman" w:hAnsi="Times New Roman" w:eastAsia="Times New Roman" w:cs="Times New Roman"/>
          <w:b/>
          <w:sz w:val="28"/>
          <w:szCs w:val="28"/>
          <w:lang w:val="en-US" w:eastAsia="ru-RU"/>
        </w:rPr>
      </w:pPr>
    </w:p>
    <w:p w14:paraId="685FB8AB">
      <w:pPr>
        <w:widowControl w:val="0"/>
        <w:autoSpaceDE w:val="0"/>
        <w:autoSpaceDN w:val="0"/>
        <w:spacing w:after="0" w:line="276" w:lineRule="auto"/>
        <w:ind w:firstLine="709"/>
        <w:jc w:val="center"/>
        <w:outlineLvl w:val="0"/>
        <w:rPr>
          <w:rFonts w:ascii="Times New Roman" w:hAnsi="Times New Roman" w:eastAsia="Times New Roman" w:cs="Times New Roman"/>
          <w:b/>
          <w:sz w:val="28"/>
          <w:szCs w:val="28"/>
          <w:lang w:val="en-US" w:eastAsia="ru-RU"/>
        </w:rPr>
      </w:pPr>
    </w:p>
    <w:p w14:paraId="7F9AEBB0">
      <w:pPr>
        <w:widowControl w:val="0"/>
        <w:autoSpaceDE w:val="0"/>
        <w:autoSpaceDN w:val="0"/>
        <w:spacing w:after="0" w:line="276" w:lineRule="auto"/>
        <w:ind w:firstLine="709"/>
        <w:jc w:val="center"/>
        <w:outlineLvl w:val="0"/>
        <w:rPr>
          <w:rFonts w:ascii="Times New Roman" w:hAnsi="Times New Roman" w:eastAsia="Times New Roman" w:cs="Times New Roman"/>
          <w:b/>
          <w:sz w:val="28"/>
          <w:szCs w:val="28"/>
          <w:lang w:val="en-US" w:eastAsia="ru-RU"/>
        </w:rPr>
      </w:pPr>
    </w:p>
    <w:p w14:paraId="2FCD7C95">
      <w:pPr>
        <w:widowControl w:val="0"/>
        <w:autoSpaceDE w:val="0"/>
        <w:autoSpaceDN w:val="0"/>
        <w:spacing w:after="0" w:line="276" w:lineRule="auto"/>
        <w:ind w:firstLine="709"/>
        <w:jc w:val="center"/>
        <w:outlineLvl w:val="0"/>
        <w:rPr>
          <w:rFonts w:ascii="Times New Roman" w:hAnsi="Times New Roman" w:eastAsia="Times New Roman" w:cs="Times New Roman"/>
          <w:b/>
          <w:sz w:val="28"/>
          <w:szCs w:val="28"/>
          <w:lang w:val="en-US" w:eastAsia="ru-RU"/>
        </w:rPr>
      </w:pPr>
    </w:p>
    <w:p w14:paraId="2CF907DB">
      <w:pPr>
        <w:widowControl w:val="0"/>
        <w:autoSpaceDE w:val="0"/>
        <w:autoSpaceDN w:val="0"/>
        <w:spacing w:after="0" w:line="276" w:lineRule="auto"/>
        <w:ind w:firstLine="709"/>
        <w:jc w:val="center"/>
        <w:outlineLvl w:val="0"/>
        <w:rPr>
          <w:rFonts w:ascii="Times New Roman" w:hAnsi="Times New Roman" w:eastAsia="Times New Roman" w:cs="Times New Roman"/>
          <w:b/>
          <w:sz w:val="28"/>
          <w:szCs w:val="28"/>
          <w:lang w:val="en-US" w:eastAsia="ru-RU"/>
        </w:rPr>
      </w:pPr>
    </w:p>
    <w:p w14:paraId="4595AEC5">
      <w:pPr>
        <w:widowControl w:val="0"/>
        <w:autoSpaceDE w:val="0"/>
        <w:autoSpaceDN w:val="0"/>
        <w:spacing w:after="0" w:line="276" w:lineRule="auto"/>
        <w:ind w:firstLine="709"/>
        <w:jc w:val="center"/>
        <w:outlineLvl w:val="0"/>
        <w:rPr>
          <w:rFonts w:ascii="Times New Roman" w:hAnsi="Times New Roman" w:eastAsia="Times New Roman" w:cs="Times New Roman"/>
          <w:b/>
          <w:sz w:val="28"/>
          <w:szCs w:val="28"/>
          <w:lang w:val="en-US" w:eastAsia="ru-RU"/>
        </w:rPr>
      </w:pPr>
    </w:p>
    <w:p w14:paraId="2410632E">
      <w:pPr>
        <w:widowControl w:val="0"/>
        <w:autoSpaceDE w:val="0"/>
        <w:autoSpaceDN w:val="0"/>
        <w:spacing w:after="0" w:line="276" w:lineRule="auto"/>
        <w:ind w:firstLine="709"/>
        <w:jc w:val="center"/>
        <w:outlineLvl w:val="0"/>
        <w:rPr>
          <w:rFonts w:ascii="Times New Roman" w:hAnsi="Times New Roman" w:eastAsia="Times New Roman" w:cs="Times New Roman"/>
          <w:b/>
          <w:sz w:val="28"/>
          <w:szCs w:val="28"/>
          <w:lang w:val="en-US" w:eastAsia="ru-RU"/>
        </w:rPr>
      </w:pPr>
    </w:p>
    <w:p w14:paraId="0842CF74">
      <w:pPr>
        <w:widowControl w:val="0"/>
        <w:autoSpaceDE w:val="0"/>
        <w:autoSpaceDN w:val="0"/>
        <w:spacing w:after="0" w:line="276" w:lineRule="auto"/>
        <w:ind w:firstLine="709"/>
        <w:jc w:val="center"/>
        <w:outlineLvl w:val="0"/>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eastAsia="ru-RU"/>
        </w:rPr>
        <w:t>БӨЛІМ 3. ЗЕРТТЕУ НӘТИЖЕЛЕРІ ЖӘНЕ ОЛАРДЫ ТАЛҚЫЛАУ</w:t>
      </w:r>
    </w:p>
    <w:p w14:paraId="061D5249">
      <w:pPr>
        <w:widowControl w:val="0"/>
        <w:autoSpaceDE w:val="0"/>
        <w:autoSpaceDN w:val="0"/>
        <w:spacing w:after="0" w:line="276" w:lineRule="auto"/>
        <w:ind w:firstLine="709"/>
        <w:jc w:val="both"/>
        <w:outlineLvl w:val="0"/>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eastAsia="ru-RU"/>
        </w:rPr>
        <w:t xml:space="preserve"> </w:t>
      </w:r>
    </w:p>
    <w:p w14:paraId="2DEA7663">
      <w:pPr>
        <w:widowControl w:val="0"/>
        <w:autoSpaceDE w:val="0"/>
        <w:autoSpaceDN w:val="0"/>
        <w:spacing w:after="0" w:line="276" w:lineRule="auto"/>
        <w:ind w:firstLine="709"/>
        <w:jc w:val="both"/>
        <w:outlineLvl w:val="0"/>
        <w:rPr>
          <w:rFonts w:ascii="Times New Roman" w:hAnsi="Times New Roman" w:eastAsia="Times New Roman" w:cs="Times New Roman"/>
          <w:b/>
          <w:color w:val="000000"/>
          <w:kern w:val="36"/>
          <w:sz w:val="28"/>
          <w:szCs w:val="28"/>
          <w:lang w:eastAsia="ru-RU"/>
        </w:rPr>
      </w:pPr>
      <w:r>
        <w:rPr>
          <w:rFonts w:ascii="Times New Roman" w:hAnsi="Times New Roman" w:eastAsia="Times New Roman" w:cs="Times New Roman"/>
          <w:b/>
          <w:color w:val="000000"/>
          <w:kern w:val="36"/>
          <w:sz w:val="28"/>
          <w:szCs w:val="28"/>
          <w:lang w:eastAsia="ru-RU"/>
        </w:rPr>
        <w:t>3.1 Зерттеуге қатысқан жүктілердің зертханалық және клиникалық сипаттамалары</w:t>
      </w:r>
    </w:p>
    <w:p w14:paraId="16CC92D4">
      <w:pPr>
        <w:widowControl w:val="0"/>
        <w:autoSpaceDE w:val="0"/>
        <w:autoSpaceDN w:val="0"/>
        <w:spacing w:after="0" w:line="276" w:lineRule="auto"/>
        <w:ind w:firstLine="709"/>
        <w:jc w:val="both"/>
        <w:outlineLvl w:val="0"/>
        <w:rPr>
          <w:rFonts w:ascii="Times New Roman" w:hAnsi="Times New Roman" w:eastAsia="Times New Roman" w:cs="Times New Roman"/>
          <w:b/>
          <w:color w:val="000000"/>
          <w:kern w:val="36"/>
          <w:sz w:val="28"/>
          <w:szCs w:val="28"/>
          <w:lang w:eastAsia="ru-RU"/>
        </w:rPr>
      </w:pPr>
      <w:r>
        <w:rPr>
          <w:rFonts w:ascii="Times New Roman" w:hAnsi="Times New Roman" w:eastAsia="Times New Roman" w:cs="Times New Roman"/>
          <w:b/>
          <w:color w:val="000000"/>
          <w:kern w:val="36"/>
          <w:sz w:val="28"/>
          <w:szCs w:val="28"/>
          <w:lang w:eastAsia="ru-RU"/>
        </w:rPr>
        <w:t xml:space="preserve"> </w:t>
      </w:r>
    </w:p>
    <w:p w14:paraId="412980D8">
      <w:pPr>
        <w:widowControl w:val="0"/>
        <w:autoSpaceDE w:val="0"/>
        <w:autoSpaceDN w:val="0"/>
        <w:spacing w:after="0" w:line="276" w:lineRule="auto"/>
        <w:ind w:firstLine="709"/>
        <w:jc w:val="both"/>
        <w:outlineLvl w:val="0"/>
        <w:rPr>
          <w:rFonts w:ascii="Times New Roman" w:hAnsi="Times New Roman" w:eastAsia="Times New Roman" w:cs="Times New Roman"/>
          <w:bCs/>
          <w:color w:val="000000"/>
          <w:kern w:val="36"/>
          <w:sz w:val="28"/>
          <w:szCs w:val="28"/>
          <w:lang w:eastAsia="ru-RU"/>
        </w:rPr>
      </w:pPr>
      <w:r>
        <w:rPr>
          <w:rFonts w:ascii="Times New Roman" w:hAnsi="Times New Roman" w:eastAsia="Times New Roman" w:cs="Times New Roman"/>
          <w:bCs/>
          <w:color w:val="000000"/>
          <w:kern w:val="36"/>
          <w:sz w:val="28"/>
          <w:szCs w:val="28"/>
          <w:lang w:eastAsia="ru-RU"/>
        </w:rPr>
        <w:t>Бұл зерттеу предгестациялық семіздігі бар жүкті әйелдерде анемияның даму шарттарын зерттеуге бағытталды. Нәтижелер дені сау жүкті әйелдермен және тек анемиясы бар әйелдермен салыстырмалы түрде бағаланды. Бұл үшін жүкті әйелдердің зертханалық (гемограмма, биохимиялық зерттеу, коагулограмма), клиникалық, акушерлік және гинекологиялық анамнездері, аспаптық тексеру нәтижелері және босану ерекшеліктері мұқият талданды. Зерттелушілердің барлық топтарында темір алмасу маркерлері мен қабыну медиаторлары иммуноферменттік анализ арқылы бағаланды.</w:t>
      </w:r>
    </w:p>
    <w:p w14:paraId="7040B04A">
      <w:pPr>
        <w:widowControl w:val="0"/>
        <w:autoSpaceDE w:val="0"/>
        <w:autoSpaceDN w:val="0"/>
        <w:spacing w:after="0" w:line="276" w:lineRule="auto"/>
        <w:ind w:firstLine="709"/>
        <w:jc w:val="both"/>
        <w:outlineLvl w:val="0"/>
        <w:rPr>
          <w:rFonts w:ascii="Times New Roman" w:hAnsi="Times New Roman" w:eastAsia="Times New Roman" w:cs="Times New Roman"/>
          <w:bCs/>
          <w:color w:val="000000"/>
          <w:kern w:val="36"/>
          <w:sz w:val="28"/>
          <w:szCs w:val="28"/>
          <w:lang w:eastAsia="ru-RU"/>
        </w:rPr>
      </w:pPr>
      <w:r>
        <w:rPr>
          <w:rFonts w:ascii="Times New Roman" w:hAnsi="Times New Roman" w:eastAsia="Times New Roman" w:cs="Times New Roman"/>
          <w:bCs/>
          <w:color w:val="000000"/>
          <w:kern w:val="36"/>
          <w:sz w:val="28"/>
          <w:szCs w:val="28"/>
          <w:lang w:eastAsia="ru-RU"/>
        </w:rPr>
        <w:t>Демографиялық және антропометриялық деректер (жасы, жүктілік паритеті, жүктілік мерзімі) 5-кестеде көрсетілген. Орташа жас пен жүктілік мерзімі топтар арасында нақты айырмашылық көрсетпегенімен, жүктілік паритетінде статистикалық маңызды ерекшеліктер анықталды. Біріншілік жүктілік немесе қайта жүктілік болғанына қарамастан, анемияның даму қаупі барлық топтарда байқалды.</w:t>
      </w:r>
    </w:p>
    <w:p w14:paraId="7CB7EE35">
      <w:pPr>
        <w:widowControl w:val="0"/>
        <w:autoSpaceDE w:val="0"/>
        <w:autoSpaceDN w:val="0"/>
        <w:spacing w:after="0" w:line="276" w:lineRule="auto"/>
        <w:ind w:firstLine="709"/>
        <w:jc w:val="both"/>
        <w:outlineLvl w:val="0"/>
        <w:rPr>
          <w:rFonts w:ascii="Times New Roman" w:hAnsi="Times New Roman" w:eastAsia="Times New Roman" w:cs="Times New Roman"/>
          <w:bCs/>
          <w:color w:val="000000"/>
          <w:kern w:val="36"/>
          <w:sz w:val="28"/>
          <w:szCs w:val="28"/>
          <w:lang w:eastAsia="ru-RU"/>
        </w:rPr>
      </w:pPr>
      <w:r>
        <w:rPr>
          <w:rFonts w:ascii="Times New Roman" w:hAnsi="Times New Roman" w:eastAsia="Times New Roman" w:cs="Times New Roman"/>
          <w:bCs/>
          <w:color w:val="000000"/>
          <w:kern w:val="36"/>
          <w:sz w:val="28"/>
          <w:szCs w:val="28"/>
          <w:lang w:eastAsia="ru-RU"/>
        </w:rPr>
        <w:t>Анемияның дамуында анамнезінде анемиясы бар жүкті әйелдер анемияның дамуына бейім екендігі  анықталды. Сонымен қатар, семіздік пен анемияның үйлесуі анамнездегі анемия көрсеткіштерін айтарлықтай жоғарылатты (p&gt;0,043).</w:t>
      </w:r>
    </w:p>
    <w:p w14:paraId="373A53AD">
      <w:pPr>
        <w:widowControl w:val="0"/>
        <w:autoSpaceDE w:val="0"/>
        <w:autoSpaceDN w:val="0"/>
        <w:spacing w:after="0" w:line="276" w:lineRule="auto"/>
        <w:ind w:firstLine="709"/>
        <w:jc w:val="both"/>
        <w:outlineLvl w:val="0"/>
        <w:rPr>
          <w:rFonts w:ascii="Times New Roman" w:hAnsi="Times New Roman" w:eastAsia="Times New Roman" w:cs="Times New Roman"/>
          <w:bCs/>
          <w:color w:val="000000"/>
          <w:kern w:val="36"/>
          <w:sz w:val="28"/>
          <w:szCs w:val="28"/>
          <w:lang w:eastAsia="ru-RU"/>
        </w:rPr>
      </w:pPr>
      <w:r>
        <w:rPr>
          <w:rFonts w:ascii="Times New Roman" w:hAnsi="Times New Roman" w:eastAsia="Times New Roman" w:cs="Times New Roman"/>
          <w:bCs/>
          <w:color w:val="000000"/>
          <w:kern w:val="36"/>
          <w:sz w:val="28"/>
          <w:szCs w:val="28"/>
          <w:lang w:eastAsia="ru-RU"/>
        </w:rPr>
        <w:t xml:space="preserve"> </w:t>
      </w:r>
    </w:p>
    <w:p w14:paraId="53A8E764">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Кесте – 5. Зерттеуші топтардың клиникалық сипаттамасы</w:t>
      </w:r>
    </w:p>
    <w:p w14:paraId="11C1D57A">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p>
    <w:tbl>
      <w:tblPr>
        <w:tblStyle w:val="22"/>
        <w:tblW w:w="0" w:type="auto"/>
        <w:tblInd w:w="0" w:type="dxa"/>
        <w:tblLayout w:type="fixed"/>
        <w:tblCellMar>
          <w:top w:w="15" w:type="dxa"/>
          <w:left w:w="15" w:type="dxa"/>
          <w:bottom w:w="15" w:type="dxa"/>
          <w:right w:w="15" w:type="dxa"/>
        </w:tblCellMar>
      </w:tblPr>
      <w:tblGrid>
        <w:gridCol w:w="1980"/>
        <w:gridCol w:w="1995"/>
        <w:gridCol w:w="1410"/>
        <w:gridCol w:w="1845"/>
        <w:gridCol w:w="1305"/>
        <w:gridCol w:w="975"/>
      </w:tblGrid>
      <w:tr w14:paraId="07895919">
        <w:tblPrEx>
          <w:tblCellMar>
            <w:top w:w="15" w:type="dxa"/>
            <w:left w:w="15" w:type="dxa"/>
            <w:bottom w:w="15" w:type="dxa"/>
            <w:right w:w="15" w:type="dxa"/>
          </w:tblCellMar>
        </w:tblPrEx>
        <w:tc>
          <w:tcPr>
            <w:tcW w:w="1980" w:type="dxa"/>
            <w:vMerge w:val="restart"/>
            <w:tcBorders>
              <w:top w:val="outset" w:color="auto" w:sz="6" w:space="0"/>
              <w:left w:val="outset" w:color="auto" w:sz="6" w:space="0"/>
              <w:bottom w:val="outset" w:color="auto" w:sz="6" w:space="0"/>
              <w:right w:val="outset" w:color="auto" w:sz="6" w:space="0"/>
            </w:tcBorders>
          </w:tcPr>
          <w:p w14:paraId="54275D3F">
            <w:pPr>
              <w:widowControl w:val="0"/>
              <w:autoSpaceDE w:val="0"/>
              <w:autoSpaceDN w:val="0"/>
              <w:spacing w:after="0" w:line="276" w:lineRule="auto"/>
              <w:jc w:val="both"/>
              <w:outlineLvl w:val="0"/>
              <w:rPr>
                <w:rFonts w:ascii="Times New Roman" w:hAnsi="Times New Roman" w:eastAsia="Times New Roman" w:cs="Times New Roman"/>
                <w:b/>
                <w:sz w:val="28"/>
                <w:szCs w:val="28"/>
                <w:lang w:val="en-US" w:eastAsia="ru-RU"/>
              </w:rPr>
            </w:pPr>
            <w:r>
              <w:rPr>
                <w:rFonts w:ascii="Times New Roman" w:hAnsi="Times New Roman" w:eastAsia="Times New Roman" w:cs="Times New Roman"/>
                <w:b/>
                <w:sz w:val="28"/>
                <w:szCs w:val="28"/>
                <w:lang w:val="en-US" w:eastAsia="ru-RU"/>
              </w:rPr>
              <w:t>Көрсеткіштер</w:t>
            </w:r>
          </w:p>
        </w:tc>
        <w:tc>
          <w:tcPr>
            <w:tcW w:w="1995" w:type="dxa"/>
            <w:vMerge w:val="restart"/>
            <w:tcBorders>
              <w:top w:val="outset" w:color="auto" w:sz="6" w:space="0"/>
              <w:left w:val="outset" w:color="auto" w:sz="6" w:space="0"/>
              <w:bottom w:val="outset" w:color="auto" w:sz="6" w:space="0"/>
              <w:right w:val="outset" w:color="auto" w:sz="6" w:space="0"/>
            </w:tcBorders>
          </w:tcPr>
          <w:p w14:paraId="05310F02">
            <w:pPr>
              <w:widowControl w:val="0"/>
              <w:autoSpaceDE w:val="0"/>
              <w:autoSpaceDN w:val="0"/>
              <w:spacing w:after="0" w:line="276" w:lineRule="auto"/>
              <w:jc w:val="both"/>
              <w:outlineLvl w:val="0"/>
              <w:rPr>
                <w:rFonts w:ascii="Times New Roman" w:hAnsi="Times New Roman" w:eastAsia="Times New Roman" w:cs="Times New Roman"/>
                <w:b/>
                <w:sz w:val="28"/>
                <w:szCs w:val="28"/>
                <w:lang w:val="en-US" w:eastAsia="ru-RU"/>
              </w:rPr>
            </w:pPr>
            <w:r>
              <w:rPr>
                <w:rFonts w:ascii="Times New Roman" w:hAnsi="Times New Roman" w:eastAsia="Times New Roman" w:cs="Times New Roman"/>
                <w:b/>
                <w:sz w:val="28"/>
                <w:szCs w:val="28"/>
                <w:lang w:val="en-US" w:eastAsia="ru-RU"/>
              </w:rPr>
              <w:t xml:space="preserve">        Бақылау</w:t>
            </w:r>
          </w:p>
          <w:p w14:paraId="46198064">
            <w:pPr>
              <w:widowControl w:val="0"/>
              <w:autoSpaceDE w:val="0"/>
              <w:autoSpaceDN w:val="0"/>
              <w:spacing w:after="0" w:line="276" w:lineRule="auto"/>
              <w:jc w:val="both"/>
              <w:outlineLvl w:val="0"/>
              <w:rPr>
                <w:rFonts w:ascii="Times New Roman" w:hAnsi="Times New Roman" w:eastAsia="Times New Roman" w:cs="Times New Roman"/>
                <w:b/>
                <w:sz w:val="28"/>
                <w:szCs w:val="28"/>
                <w:lang w:val="en-US" w:eastAsia="ru-RU"/>
              </w:rPr>
            </w:pPr>
            <w:r>
              <w:rPr>
                <w:rFonts w:ascii="Times New Roman" w:hAnsi="Times New Roman" w:eastAsia="Times New Roman" w:cs="Times New Roman"/>
                <w:b/>
                <w:sz w:val="28"/>
                <w:szCs w:val="28"/>
                <w:lang w:val="en-US" w:eastAsia="ru-RU"/>
              </w:rPr>
              <w:t>тобы</w:t>
            </w:r>
          </w:p>
          <w:p w14:paraId="5B5F4CCD">
            <w:pPr>
              <w:widowControl w:val="0"/>
              <w:autoSpaceDE w:val="0"/>
              <w:autoSpaceDN w:val="0"/>
              <w:spacing w:after="0" w:line="276" w:lineRule="auto"/>
              <w:jc w:val="both"/>
              <w:outlineLvl w:val="0"/>
              <w:rPr>
                <w:rFonts w:ascii="Times New Roman" w:hAnsi="Times New Roman" w:eastAsia="Times New Roman" w:cs="Times New Roman"/>
                <w:b/>
                <w:sz w:val="28"/>
                <w:szCs w:val="28"/>
                <w:lang w:val="en-US" w:eastAsia="ru-RU"/>
              </w:rPr>
            </w:pPr>
            <w:r>
              <w:rPr>
                <w:rFonts w:ascii="Times New Roman" w:hAnsi="Times New Roman" w:eastAsia="Times New Roman" w:cs="Times New Roman"/>
                <w:b/>
                <w:sz w:val="28"/>
                <w:szCs w:val="28"/>
                <w:lang w:val="en-US" w:eastAsia="ru-RU"/>
              </w:rPr>
              <w:t xml:space="preserve">      1 топ (n=43)</w:t>
            </w:r>
          </w:p>
        </w:tc>
        <w:tc>
          <w:tcPr>
            <w:tcW w:w="4560" w:type="dxa"/>
            <w:gridSpan w:val="3"/>
            <w:tcBorders>
              <w:top w:val="outset" w:color="auto" w:sz="6" w:space="0"/>
              <w:left w:val="outset" w:color="auto" w:sz="6" w:space="0"/>
              <w:bottom w:val="outset" w:color="auto" w:sz="6" w:space="0"/>
              <w:right w:val="outset" w:color="auto" w:sz="6" w:space="0"/>
            </w:tcBorders>
          </w:tcPr>
          <w:p w14:paraId="72123175">
            <w:pPr>
              <w:widowControl w:val="0"/>
              <w:autoSpaceDE w:val="0"/>
              <w:autoSpaceDN w:val="0"/>
              <w:spacing w:after="0" w:line="276" w:lineRule="auto"/>
              <w:jc w:val="both"/>
              <w:outlineLvl w:val="0"/>
              <w:rPr>
                <w:rFonts w:ascii="Times New Roman" w:hAnsi="Times New Roman" w:eastAsia="Times New Roman" w:cs="Times New Roman"/>
                <w:b/>
                <w:sz w:val="28"/>
                <w:szCs w:val="28"/>
                <w:lang w:val="en-US" w:eastAsia="ru-RU"/>
              </w:rPr>
            </w:pPr>
            <w:r>
              <w:rPr>
                <w:rFonts w:ascii="Times New Roman" w:hAnsi="Times New Roman" w:eastAsia="Times New Roman" w:cs="Times New Roman"/>
                <w:b/>
                <w:sz w:val="28"/>
                <w:szCs w:val="28"/>
                <w:lang w:val="en-US" w:eastAsia="ru-RU"/>
              </w:rPr>
              <w:t>Негізгі топтар</w:t>
            </w:r>
          </w:p>
        </w:tc>
        <w:tc>
          <w:tcPr>
            <w:tcW w:w="945" w:type="dxa"/>
            <w:vMerge w:val="restart"/>
            <w:tcBorders>
              <w:top w:val="outset" w:color="auto" w:sz="6" w:space="0"/>
              <w:left w:val="outset" w:color="auto" w:sz="6" w:space="0"/>
              <w:bottom w:val="outset" w:color="auto" w:sz="6" w:space="0"/>
              <w:right w:val="outset" w:color="auto" w:sz="6" w:space="0"/>
            </w:tcBorders>
          </w:tcPr>
          <w:p w14:paraId="3F003F4E">
            <w:pPr>
              <w:widowControl w:val="0"/>
              <w:autoSpaceDE w:val="0"/>
              <w:autoSpaceDN w:val="0"/>
              <w:spacing w:after="0" w:line="276" w:lineRule="auto"/>
              <w:jc w:val="both"/>
              <w:outlineLvl w:val="0"/>
              <w:rPr>
                <w:rFonts w:ascii="Times New Roman" w:hAnsi="Times New Roman" w:eastAsia="Times New Roman" w:cs="Times New Roman"/>
                <w:b/>
                <w:sz w:val="28"/>
                <w:szCs w:val="28"/>
                <w:lang w:val="en-US" w:eastAsia="ru-RU"/>
              </w:rPr>
            </w:pPr>
            <w:r>
              <w:rPr>
                <w:rFonts w:ascii="Times New Roman" w:hAnsi="Times New Roman" w:eastAsia="Times New Roman" w:cs="Times New Roman"/>
                <w:b/>
                <w:sz w:val="28"/>
                <w:szCs w:val="28"/>
                <w:lang w:val="en-US" w:eastAsia="ru-RU"/>
              </w:rPr>
              <w:t>p &lt; 0.05*</w:t>
            </w:r>
          </w:p>
        </w:tc>
      </w:tr>
      <w:tr w14:paraId="0947241D">
        <w:tblPrEx>
          <w:tblCellMar>
            <w:top w:w="15" w:type="dxa"/>
            <w:left w:w="15" w:type="dxa"/>
            <w:bottom w:w="15" w:type="dxa"/>
            <w:right w:w="15" w:type="dxa"/>
          </w:tblCellMar>
        </w:tblPrEx>
        <w:tc>
          <w:tcPr>
            <w:tcW w:w="9510" w:type="dxa"/>
            <w:vMerge w:val="continue"/>
            <w:tcBorders>
              <w:top w:val="outset" w:color="auto" w:sz="6" w:space="0"/>
              <w:left w:val="outset" w:color="auto" w:sz="6" w:space="0"/>
              <w:bottom w:val="outset" w:color="auto" w:sz="6" w:space="0"/>
              <w:right w:val="outset" w:color="auto" w:sz="6" w:space="0"/>
            </w:tcBorders>
            <w:vAlign w:val="center"/>
          </w:tcPr>
          <w:p w14:paraId="3B2BCBAE">
            <w:pPr>
              <w:widowControl w:val="0"/>
              <w:autoSpaceDE w:val="0"/>
              <w:autoSpaceDN w:val="0"/>
              <w:spacing w:after="0" w:line="276" w:lineRule="auto"/>
              <w:jc w:val="both"/>
              <w:outlineLvl w:val="0"/>
              <w:rPr>
                <w:rFonts w:ascii="Times New Roman" w:hAnsi="Times New Roman" w:eastAsia="Times New Roman" w:cs="Times New Roman"/>
                <w:b/>
                <w:sz w:val="28"/>
                <w:szCs w:val="28"/>
                <w:lang w:val="en-US" w:eastAsia="ru-RU"/>
              </w:rPr>
            </w:pPr>
          </w:p>
        </w:tc>
        <w:tc>
          <w:tcPr>
            <w:tcW w:w="1995" w:type="dxa"/>
            <w:vMerge w:val="continue"/>
            <w:tcBorders>
              <w:top w:val="outset" w:color="auto" w:sz="6" w:space="0"/>
              <w:left w:val="outset" w:color="auto" w:sz="6" w:space="0"/>
              <w:bottom w:val="outset" w:color="auto" w:sz="6" w:space="0"/>
              <w:right w:val="outset" w:color="auto" w:sz="6" w:space="0"/>
            </w:tcBorders>
            <w:vAlign w:val="center"/>
          </w:tcPr>
          <w:p w14:paraId="1A31A383">
            <w:pPr>
              <w:widowControl w:val="0"/>
              <w:autoSpaceDE w:val="0"/>
              <w:autoSpaceDN w:val="0"/>
              <w:spacing w:after="0" w:line="276" w:lineRule="auto"/>
              <w:jc w:val="both"/>
              <w:outlineLvl w:val="0"/>
              <w:rPr>
                <w:rFonts w:ascii="Times New Roman" w:hAnsi="Times New Roman" w:eastAsia="Times New Roman" w:cs="Times New Roman"/>
                <w:b/>
                <w:sz w:val="28"/>
                <w:szCs w:val="28"/>
                <w:lang w:val="en-US" w:eastAsia="ru-RU"/>
              </w:rPr>
            </w:pPr>
          </w:p>
        </w:tc>
        <w:tc>
          <w:tcPr>
            <w:tcW w:w="1410" w:type="dxa"/>
            <w:tcBorders>
              <w:top w:val="nil"/>
              <w:left w:val="outset" w:color="auto" w:sz="6" w:space="0"/>
              <w:bottom w:val="outset" w:color="auto" w:sz="6" w:space="0"/>
              <w:right w:val="outset" w:color="auto" w:sz="6" w:space="0"/>
            </w:tcBorders>
          </w:tcPr>
          <w:p w14:paraId="7D5A8F22">
            <w:pPr>
              <w:widowControl w:val="0"/>
              <w:autoSpaceDE w:val="0"/>
              <w:autoSpaceDN w:val="0"/>
              <w:spacing w:after="0" w:line="276" w:lineRule="auto"/>
              <w:jc w:val="both"/>
              <w:outlineLvl w:val="0"/>
              <w:rPr>
                <w:rFonts w:ascii="Times New Roman" w:hAnsi="Times New Roman" w:eastAsia="Times New Roman" w:cs="Times New Roman"/>
                <w:b/>
                <w:sz w:val="28"/>
                <w:szCs w:val="28"/>
                <w:lang w:val="en-US" w:eastAsia="ru-RU"/>
              </w:rPr>
            </w:pPr>
            <w:r>
              <w:rPr>
                <w:rFonts w:ascii="Times New Roman" w:hAnsi="Times New Roman" w:eastAsia="Times New Roman" w:cs="Times New Roman"/>
                <w:b/>
                <w:sz w:val="28"/>
                <w:szCs w:val="28"/>
                <w:lang w:val="en-US" w:eastAsia="ru-RU"/>
              </w:rPr>
              <w:t>2 топ  (n=40)</w:t>
            </w:r>
          </w:p>
        </w:tc>
        <w:tc>
          <w:tcPr>
            <w:tcW w:w="1845" w:type="dxa"/>
            <w:tcBorders>
              <w:top w:val="nil"/>
              <w:left w:val="outset" w:color="auto" w:sz="6" w:space="0"/>
              <w:bottom w:val="outset" w:color="auto" w:sz="6" w:space="0"/>
              <w:right w:val="outset" w:color="auto" w:sz="6" w:space="0"/>
            </w:tcBorders>
          </w:tcPr>
          <w:p w14:paraId="1632148C">
            <w:pPr>
              <w:widowControl w:val="0"/>
              <w:autoSpaceDE w:val="0"/>
              <w:autoSpaceDN w:val="0"/>
              <w:spacing w:after="0" w:line="276" w:lineRule="auto"/>
              <w:jc w:val="both"/>
              <w:outlineLvl w:val="0"/>
              <w:rPr>
                <w:rFonts w:ascii="Times New Roman" w:hAnsi="Times New Roman" w:eastAsia="Times New Roman" w:cs="Times New Roman"/>
                <w:b/>
                <w:sz w:val="28"/>
                <w:szCs w:val="28"/>
                <w:lang w:val="en-US" w:eastAsia="ru-RU"/>
              </w:rPr>
            </w:pPr>
            <w:r>
              <w:rPr>
                <w:rFonts w:ascii="Times New Roman" w:hAnsi="Times New Roman" w:eastAsia="Times New Roman" w:cs="Times New Roman"/>
                <w:b/>
                <w:sz w:val="28"/>
                <w:szCs w:val="28"/>
                <w:lang w:val="en-US" w:eastAsia="ru-RU"/>
              </w:rPr>
              <w:t>3 топ (n=48)</w:t>
            </w:r>
          </w:p>
        </w:tc>
        <w:tc>
          <w:tcPr>
            <w:tcW w:w="1305" w:type="dxa"/>
            <w:tcBorders>
              <w:top w:val="outset" w:color="auto" w:sz="6" w:space="0"/>
              <w:left w:val="outset" w:color="auto" w:sz="6" w:space="0"/>
              <w:bottom w:val="outset" w:color="auto" w:sz="6" w:space="0"/>
              <w:right w:val="outset" w:color="auto" w:sz="6" w:space="0"/>
            </w:tcBorders>
          </w:tcPr>
          <w:p w14:paraId="1A4B08D1">
            <w:pPr>
              <w:widowControl w:val="0"/>
              <w:autoSpaceDE w:val="0"/>
              <w:autoSpaceDN w:val="0"/>
              <w:spacing w:after="0" w:line="276" w:lineRule="auto"/>
              <w:jc w:val="both"/>
              <w:outlineLvl w:val="0"/>
              <w:rPr>
                <w:rFonts w:ascii="Times New Roman" w:hAnsi="Times New Roman" w:eastAsia="Times New Roman" w:cs="Times New Roman"/>
                <w:b/>
                <w:sz w:val="28"/>
                <w:szCs w:val="28"/>
                <w:lang w:val="en-US" w:eastAsia="ru-RU"/>
              </w:rPr>
            </w:pPr>
            <w:r>
              <w:rPr>
                <w:rFonts w:ascii="Times New Roman" w:hAnsi="Times New Roman" w:eastAsia="Times New Roman" w:cs="Times New Roman"/>
                <w:b/>
                <w:sz w:val="28"/>
                <w:szCs w:val="28"/>
                <w:lang w:val="en-US" w:eastAsia="ru-RU"/>
              </w:rPr>
              <w:t xml:space="preserve">  4 топ</w:t>
            </w:r>
          </w:p>
          <w:p w14:paraId="4B9DF81E">
            <w:pPr>
              <w:widowControl w:val="0"/>
              <w:autoSpaceDE w:val="0"/>
              <w:autoSpaceDN w:val="0"/>
              <w:spacing w:after="0" w:line="276" w:lineRule="auto"/>
              <w:jc w:val="both"/>
              <w:outlineLvl w:val="0"/>
              <w:rPr>
                <w:rFonts w:ascii="Times New Roman" w:hAnsi="Times New Roman" w:eastAsia="Times New Roman" w:cs="Times New Roman"/>
                <w:b/>
                <w:sz w:val="28"/>
                <w:szCs w:val="28"/>
                <w:lang w:val="en-US" w:eastAsia="ru-RU"/>
              </w:rPr>
            </w:pPr>
            <w:r>
              <w:rPr>
                <w:rFonts w:ascii="Times New Roman" w:hAnsi="Times New Roman" w:eastAsia="Times New Roman" w:cs="Times New Roman"/>
                <w:b/>
                <w:sz w:val="28"/>
                <w:szCs w:val="28"/>
                <w:lang w:val="en-US" w:eastAsia="ru-RU"/>
              </w:rPr>
              <w:t xml:space="preserve">  (n=36)</w:t>
            </w:r>
          </w:p>
        </w:tc>
        <w:tc>
          <w:tcPr>
            <w:tcW w:w="945" w:type="dxa"/>
            <w:vMerge w:val="continue"/>
            <w:tcBorders>
              <w:top w:val="outset" w:color="auto" w:sz="6" w:space="0"/>
              <w:left w:val="outset" w:color="auto" w:sz="6" w:space="0"/>
              <w:bottom w:val="outset" w:color="auto" w:sz="6" w:space="0"/>
              <w:right w:val="outset" w:color="auto" w:sz="6" w:space="0"/>
            </w:tcBorders>
            <w:vAlign w:val="center"/>
          </w:tcPr>
          <w:p w14:paraId="0644679A">
            <w:pPr>
              <w:widowControl w:val="0"/>
              <w:autoSpaceDE w:val="0"/>
              <w:autoSpaceDN w:val="0"/>
              <w:spacing w:after="0" w:line="276" w:lineRule="auto"/>
              <w:jc w:val="both"/>
              <w:outlineLvl w:val="0"/>
              <w:rPr>
                <w:rFonts w:ascii="Times New Roman" w:hAnsi="Times New Roman" w:eastAsia="Times New Roman" w:cs="Times New Roman"/>
                <w:b/>
                <w:sz w:val="28"/>
                <w:szCs w:val="28"/>
                <w:lang w:val="en-US" w:eastAsia="ru-RU"/>
              </w:rPr>
            </w:pPr>
          </w:p>
        </w:tc>
      </w:tr>
      <w:tr w14:paraId="7A24F55C">
        <w:tblPrEx>
          <w:tblCellMar>
            <w:top w:w="15" w:type="dxa"/>
            <w:left w:w="15" w:type="dxa"/>
            <w:bottom w:w="15" w:type="dxa"/>
            <w:right w:w="15" w:type="dxa"/>
          </w:tblCellMar>
        </w:tblPrEx>
        <w:tc>
          <w:tcPr>
            <w:tcW w:w="1980" w:type="dxa"/>
            <w:tcBorders>
              <w:top w:val="nil"/>
              <w:left w:val="outset" w:color="auto" w:sz="6" w:space="0"/>
              <w:bottom w:val="outset" w:color="auto" w:sz="6" w:space="0"/>
              <w:right w:val="outset" w:color="auto" w:sz="6" w:space="0"/>
            </w:tcBorders>
          </w:tcPr>
          <w:p w14:paraId="0941239C">
            <w:pPr>
              <w:widowControl w:val="0"/>
              <w:autoSpaceDE w:val="0"/>
              <w:autoSpaceDN w:val="0"/>
              <w:spacing w:after="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Жасы</w:t>
            </w:r>
          </w:p>
        </w:tc>
        <w:tc>
          <w:tcPr>
            <w:tcW w:w="1995" w:type="dxa"/>
            <w:tcBorders>
              <w:top w:val="nil"/>
              <w:left w:val="outset" w:color="auto" w:sz="6" w:space="0"/>
              <w:bottom w:val="outset" w:color="auto" w:sz="6" w:space="0"/>
              <w:right w:val="outset" w:color="auto" w:sz="6" w:space="0"/>
            </w:tcBorders>
          </w:tcPr>
          <w:p w14:paraId="22FFDE8E">
            <w:pPr>
              <w:widowControl w:val="0"/>
              <w:autoSpaceDE w:val="0"/>
              <w:autoSpaceDN w:val="0"/>
              <w:spacing w:after="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28,3 ± 3,4</w:t>
            </w:r>
          </w:p>
          <w:p w14:paraId="4D09C0FB">
            <w:pPr>
              <w:widowControl w:val="0"/>
              <w:autoSpaceDE w:val="0"/>
              <w:autoSpaceDN w:val="0"/>
              <w:spacing w:after="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(23,10–33,30)</w:t>
            </w:r>
          </w:p>
        </w:tc>
        <w:tc>
          <w:tcPr>
            <w:tcW w:w="1410" w:type="dxa"/>
            <w:tcBorders>
              <w:top w:val="nil"/>
              <w:left w:val="outset" w:color="auto" w:sz="6" w:space="0"/>
              <w:bottom w:val="outset" w:color="auto" w:sz="6" w:space="0"/>
              <w:right w:val="outset" w:color="auto" w:sz="6" w:space="0"/>
            </w:tcBorders>
          </w:tcPr>
          <w:p w14:paraId="0A3D3D65">
            <w:pPr>
              <w:widowControl w:val="0"/>
              <w:autoSpaceDE w:val="0"/>
              <w:autoSpaceDN w:val="0"/>
              <w:spacing w:after="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31,25±7,6</w:t>
            </w:r>
          </w:p>
          <w:p w14:paraId="6A6907DB">
            <w:pPr>
              <w:widowControl w:val="0"/>
              <w:autoSpaceDE w:val="0"/>
              <w:autoSpaceDN w:val="0"/>
              <w:spacing w:after="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(25,8– 36,7)</w:t>
            </w:r>
          </w:p>
        </w:tc>
        <w:tc>
          <w:tcPr>
            <w:tcW w:w="1845" w:type="dxa"/>
            <w:tcBorders>
              <w:top w:val="nil"/>
              <w:left w:val="outset" w:color="auto" w:sz="6" w:space="0"/>
              <w:bottom w:val="outset" w:color="auto" w:sz="6" w:space="0"/>
              <w:right w:val="outset" w:color="auto" w:sz="6" w:space="0"/>
            </w:tcBorders>
          </w:tcPr>
          <w:p w14:paraId="5A5F574A">
            <w:pPr>
              <w:widowControl w:val="0"/>
              <w:autoSpaceDE w:val="0"/>
              <w:autoSpaceDN w:val="0"/>
              <w:spacing w:after="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32,55 ±6,0</w:t>
            </w:r>
          </w:p>
          <w:p w14:paraId="16A49FF5">
            <w:pPr>
              <w:widowControl w:val="0"/>
              <w:autoSpaceDE w:val="0"/>
              <w:autoSpaceDN w:val="0"/>
              <w:spacing w:after="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(30,6–34,5)</w:t>
            </w:r>
          </w:p>
        </w:tc>
        <w:tc>
          <w:tcPr>
            <w:tcW w:w="1305" w:type="dxa"/>
            <w:tcBorders>
              <w:top w:val="nil"/>
              <w:left w:val="outset" w:color="auto" w:sz="6" w:space="0"/>
              <w:bottom w:val="outset" w:color="auto" w:sz="6" w:space="0"/>
              <w:right w:val="outset" w:color="auto" w:sz="6" w:space="0"/>
            </w:tcBorders>
          </w:tcPr>
          <w:p w14:paraId="449926F6">
            <w:pPr>
              <w:widowControl w:val="0"/>
              <w:autoSpaceDE w:val="0"/>
              <w:autoSpaceDN w:val="0"/>
              <w:spacing w:after="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34,3±8,0</w:t>
            </w:r>
          </w:p>
          <w:p w14:paraId="4278849B">
            <w:pPr>
              <w:widowControl w:val="0"/>
              <w:autoSpaceDE w:val="0"/>
              <w:autoSpaceDN w:val="0"/>
              <w:spacing w:after="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(30,6–37,9)</w:t>
            </w:r>
          </w:p>
        </w:tc>
        <w:tc>
          <w:tcPr>
            <w:tcW w:w="945" w:type="dxa"/>
            <w:tcBorders>
              <w:top w:val="nil"/>
              <w:left w:val="outset" w:color="auto" w:sz="6" w:space="0"/>
              <w:bottom w:val="outset" w:color="auto" w:sz="6" w:space="0"/>
              <w:right w:val="outset" w:color="auto" w:sz="6" w:space="0"/>
            </w:tcBorders>
          </w:tcPr>
          <w:p w14:paraId="248414F6">
            <w:pPr>
              <w:widowControl w:val="0"/>
              <w:autoSpaceDE w:val="0"/>
              <w:autoSpaceDN w:val="0"/>
              <w:spacing w:after="0" w:line="276" w:lineRule="auto"/>
              <w:jc w:val="both"/>
              <w:outlineLvl w:val="0"/>
              <w:rPr>
                <w:rFonts w:ascii="Times New Roman" w:hAnsi="Times New Roman" w:eastAsia="Times New Roman" w:cs="Times New Roman"/>
                <w:b/>
                <w:iCs/>
                <w:sz w:val="28"/>
                <w:szCs w:val="28"/>
                <w:lang w:val="en-US" w:eastAsia="ru-RU"/>
              </w:rPr>
            </w:pPr>
            <w:r>
              <w:rPr>
                <w:rFonts w:ascii="Times New Roman" w:hAnsi="Times New Roman" w:eastAsia="Times New Roman" w:cs="Times New Roman"/>
                <w:b/>
                <w:iCs/>
                <w:sz w:val="28"/>
                <w:szCs w:val="28"/>
                <w:lang w:val="en-US" w:eastAsia="ru-RU"/>
              </w:rPr>
              <w:t>0,131</w:t>
            </w:r>
          </w:p>
        </w:tc>
      </w:tr>
      <w:tr w14:paraId="07D84B20">
        <w:tblPrEx>
          <w:tblCellMar>
            <w:top w:w="15" w:type="dxa"/>
            <w:left w:w="15" w:type="dxa"/>
            <w:bottom w:w="15" w:type="dxa"/>
            <w:right w:w="15" w:type="dxa"/>
          </w:tblCellMar>
        </w:tblPrEx>
        <w:tc>
          <w:tcPr>
            <w:tcW w:w="1980" w:type="dxa"/>
            <w:tcBorders>
              <w:top w:val="nil"/>
              <w:left w:val="outset" w:color="auto" w:sz="6" w:space="0"/>
              <w:bottom w:val="outset" w:color="auto" w:sz="6" w:space="0"/>
              <w:right w:val="outset" w:color="auto" w:sz="6" w:space="0"/>
            </w:tcBorders>
          </w:tcPr>
          <w:p w14:paraId="76E5BC03">
            <w:pPr>
              <w:widowControl w:val="0"/>
              <w:autoSpaceDE w:val="0"/>
              <w:autoSpaceDN w:val="0"/>
              <w:spacing w:after="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ДСИ</w:t>
            </w:r>
          </w:p>
        </w:tc>
        <w:tc>
          <w:tcPr>
            <w:tcW w:w="1995" w:type="dxa"/>
            <w:tcBorders>
              <w:top w:val="nil"/>
              <w:left w:val="outset" w:color="auto" w:sz="6" w:space="0"/>
              <w:bottom w:val="outset" w:color="auto" w:sz="6" w:space="0"/>
              <w:right w:val="outset" w:color="auto" w:sz="6" w:space="0"/>
            </w:tcBorders>
          </w:tcPr>
          <w:p w14:paraId="666AA703">
            <w:pPr>
              <w:widowControl w:val="0"/>
              <w:autoSpaceDE w:val="0"/>
              <w:autoSpaceDN w:val="0"/>
              <w:spacing w:after="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22 (20–23)</w:t>
            </w:r>
          </w:p>
        </w:tc>
        <w:tc>
          <w:tcPr>
            <w:tcW w:w="1410" w:type="dxa"/>
            <w:tcBorders>
              <w:top w:val="nil"/>
              <w:left w:val="outset" w:color="auto" w:sz="6" w:space="0"/>
              <w:bottom w:val="outset" w:color="auto" w:sz="6" w:space="0"/>
              <w:right w:val="outset" w:color="auto" w:sz="6" w:space="0"/>
            </w:tcBorders>
          </w:tcPr>
          <w:p w14:paraId="24961BE5">
            <w:pPr>
              <w:widowControl w:val="0"/>
              <w:autoSpaceDE w:val="0"/>
              <w:autoSpaceDN w:val="0"/>
              <w:spacing w:after="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20 (19,0–23,1)</w:t>
            </w:r>
          </w:p>
        </w:tc>
        <w:tc>
          <w:tcPr>
            <w:tcW w:w="1845" w:type="dxa"/>
            <w:tcBorders>
              <w:top w:val="nil"/>
              <w:left w:val="nil"/>
              <w:bottom w:val="outset" w:color="auto" w:sz="6" w:space="0"/>
              <w:right w:val="outset" w:color="auto" w:sz="6" w:space="0"/>
            </w:tcBorders>
          </w:tcPr>
          <w:p w14:paraId="2DB8F90F">
            <w:pPr>
              <w:widowControl w:val="0"/>
              <w:autoSpaceDE w:val="0"/>
              <w:autoSpaceDN w:val="0"/>
              <w:spacing w:after="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34,30 (31,6–39,1)</w:t>
            </w:r>
          </w:p>
        </w:tc>
        <w:tc>
          <w:tcPr>
            <w:tcW w:w="1305" w:type="dxa"/>
            <w:tcBorders>
              <w:top w:val="nil"/>
              <w:left w:val="outset" w:color="auto" w:sz="6" w:space="0"/>
              <w:bottom w:val="outset" w:color="auto" w:sz="6" w:space="0"/>
              <w:right w:val="outset" w:color="auto" w:sz="6" w:space="0"/>
            </w:tcBorders>
          </w:tcPr>
          <w:p w14:paraId="2C377843">
            <w:pPr>
              <w:widowControl w:val="0"/>
              <w:autoSpaceDE w:val="0"/>
              <w:autoSpaceDN w:val="0"/>
              <w:spacing w:after="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34 (32,02–37.90)</w:t>
            </w:r>
          </w:p>
        </w:tc>
        <w:tc>
          <w:tcPr>
            <w:tcW w:w="945" w:type="dxa"/>
            <w:tcBorders>
              <w:top w:val="nil"/>
              <w:left w:val="outset" w:color="auto" w:sz="6" w:space="0"/>
              <w:bottom w:val="outset" w:color="auto" w:sz="6" w:space="0"/>
              <w:right w:val="outset" w:color="auto" w:sz="6" w:space="0"/>
            </w:tcBorders>
          </w:tcPr>
          <w:p w14:paraId="670D6493">
            <w:pPr>
              <w:widowControl w:val="0"/>
              <w:autoSpaceDE w:val="0"/>
              <w:autoSpaceDN w:val="0"/>
              <w:spacing w:after="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b/>
                <w:i/>
                <w:sz w:val="28"/>
                <w:szCs w:val="28"/>
                <w:lang w:val="en-US" w:eastAsia="ru-RU"/>
              </w:rPr>
              <w:t>0,000*</w:t>
            </w:r>
          </w:p>
        </w:tc>
      </w:tr>
      <w:tr w14:paraId="504254EE">
        <w:tblPrEx>
          <w:tblCellMar>
            <w:top w:w="15" w:type="dxa"/>
            <w:left w:w="15" w:type="dxa"/>
            <w:bottom w:w="15" w:type="dxa"/>
            <w:right w:w="15" w:type="dxa"/>
          </w:tblCellMar>
        </w:tblPrEx>
        <w:tc>
          <w:tcPr>
            <w:tcW w:w="1980" w:type="dxa"/>
            <w:tcBorders>
              <w:top w:val="nil"/>
              <w:left w:val="outset" w:color="auto" w:sz="6" w:space="0"/>
              <w:bottom w:val="outset" w:color="auto" w:sz="6" w:space="0"/>
              <w:right w:val="outset" w:color="auto" w:sz="6" w:space="0"/>
            </w:tcBorders>
          </w:tcPr>
          <w:p w14:paraId="0FC6B76F">
            <w:pPr>
              <w:widowControl w:val="0"/>
              <w:autoSpaceDE w:val="0"/>
              <w:autoSpaceDN w:val="0"/>
              <w:spacing w:after="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Жүктілік мерзімі</w:t>
            </w:r>
          </w:p>
        </w:tc>
        <w:tc>
          <w:tcPr>
            <w:tcW w:w="1995" w:type="dxa"/>
            <w:tcBorders>
              <w:top w:val="nil"/>
              <w:left w:val="outset" w:color="auto" w:sz="6" w:space="0"/>
              <w:bottom w:val="outset" w:color="auto" w:sz="6" w:space="0"/>
              <w:right w:val="outset" w:color="auto" w:sz="6" w:space="0"/>
            </w:tcBorders>
          </w:tcPr>
          <w:p w14:paraId="5577E8A0">
            <w:pPr>
              <w:widowControl w:val="0"/>
              <w:autoSpaceDE w:val="0"/>
              <w:autoSpaceDN w:val="0"/>
              <w:spacing w:after="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 xml:space="preserve"> 40 (38,0–39,0)</w:t>
            </w:r>
          </w:p>
        </w:tc>
        <w:tc>
          <w:tcPr>
            <w:tcW w:w="1410" w:type="dxa"/>
            <w:tcBorders>
              <w:top w:val="nil"/>
              <w:left w:val="outset" w:color="auto" w:sz="6" w:space="0"/>
              <w:bottom w:val="outset" w:color="auto" w:sz="6" w:space="0"/>
              <w:right w:val="outset" w:color="auto" w:sz="6" w:space="0"/>
            </w:tcBorders>
          </w:tcPr>
          <w:p w14:paraId="74243104">
            <w:pPr>
              <w:widowControl w:val="0"/>
              <w:autoSpaceDE w:val="0"/>
              <w:autoSpaceDN w:val="0"/>
              <w:spacing w:after="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38  (37,0–39,0)</w:t>
            </w:r>
          </w:p>
        </w:tc>
        <w:tc>
          <w:tcPr>
            <w:tcW w:w="1845" w:type="dxa"/>
            <w:tcBorders>
              <w:top w:val="nil"/>
              <w:left w:val="nil"/>
              <w:bottom w:val="outset" w:color="auto" w:sz="6" w:space="0"/>
              <w:right w:val="outset" w:color="auto" w:sz="6" w:space="0"/>
            </w:tcBorders>
          </w:tcPr>
          <w:p w14:paraId="2B796010">
            <w:pPr>
              <w:widowControl w:val="0"/>
              <w:autoSpaceDE w:val="0"/>
              <w:autoSpaceDN w:val="0"/>
              <w:spacing w:after="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38 (36,0–39,0)</w:t>
            </w:r>
          </w:p>
        </w:tc>
        <w:tc>
          <w:tcPr>
            <w:tcW w:w="1305" w:type="dxa"/>
            <w:tcBorders>
              <w:top w:val="nil"/>
              <w:left w:val="outset" w:color="auto" w:sz="6" w:space="0"/>
              <w:bottom w:val="outset" w:color="auto" w:sz="6" w:space="0"/>
              <w:right w:val="outset" w:color="auto" w:sz="6" w:space="0"/>
            </w:tcBorders>
          </w:tcPr>
          <w:p w14:paraId="6A671828">
            <w:pPr>
              <w:widowControl w:val="0"/>
              <w:autoSpaceDE w:val="0"/>
              <w:autoSpaceDN w:val="0"/>
              <w:spacing w:after="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37 (35,0–39,0)</w:t>
            </w:r>
          </w:p>
        </w:tc>
        <w:tc>
          <w:tcPr>
            <w:tcW w:w="945" w:type="dxa"/>
            <w:tcBorders>
              <w:top w:val="nil"/>
              <w:left w:val="outset" w:color="auto" w:sz="6" w:space="0"/>
              <w:bottom w:val="outset" w:color="auto" w:sz="6" w:space="0"/>
              <w:right w:val="outset" w:color="auto" w:sz="6" w:space="0"/>
            </w:tcBorders>
          </w:tcPr>
          <w:p w14:paraId="1016A847">
            <w:pPr>
              <w:widowControl w:val="0"/>
              <w:autoSpaceDE w:val="0"/>
              <w:autoSpaceDN w:val="0"/>
              <w:spacing w:after="0" w:line="276" w:lineRule="auto"/>
              <w:jc w:val="both"/>
              <w:outlineLvl w:val="0"/>
              <w:rPr>
                <w:rFonts w:ascii="Times New Roman" w:hAnsi="Times New Roman" w:eastAsia="Times New Roman" w:cs="Times New Roman"/>
                <w:b/>
                <w:i/>
                <w:sz w:val="28"/>
                <w:szCs w:val="28"/>
                <w:lang w:val="en-US" w:eastAsia="ru-RU"/>
              </w:rPr>
            </w:pPr>
            <w:r>
              <w:rPr>
                <w:rFonts w:ascii="Times New Roman" w:hAnsi="Times New Roman" w:eastAsia="Times New Roman" w:cs="Times New Roman"/>
                <w:sz w:val="28"/>
                <w:szCs w:val="28"/>
                <w:lang w:val="en-US" w:eastAsia="ru-RU"/>
              </w:rPr>
              <w:t>0,726</w:t>
            </w:r>
          </w:p>
        </w:tc>
      </w:tr>
      <w:tr w14:paraId="23D511AE">
        <w:tblPrEx>
          <w:tblCellMar>
            <w:top w:w="15" w:type="dxa"/>
            <w:left w:w="15" w:type="dxa"/>
            <w:bottom w:w="15" w:type="dxa"/>
            <w:right w:w="15" w:type="dxa"/>
          </w:tblCellMar>
        </w:tblPrEx>
        <w:tc>
          <w:tcPr>
            <w:tcW w:w="1980" w:type="dxa"/>
            <w:tcBorders>
              <w:top w:val="nil"/>
              <w:left w:val="outset" w:color="auto" w:sz="6" w:space="0"/>
              <w:bottom w:val="outset" w:color="auto" w:sz="6" w:space="0"/>
              <w:right w:val="outset" w:color="auto" w:sz="6" w:space="0"/>
            </w:tcBorders>
          </w:tcPr>
          <w:p w14:paraId="1BC0FD96">
            <w:pPr>
              <w:widowControl w:val="0"/>
              <w:autoSpaceDE w:val="0"/>
              <w:autoSpaceDN w:val="0"/>
              <w:spacing w:after="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Гемоглобин</w:t>
            </w:r>
          </w:p>
        </w:tc>
        <w:tc>
          <w:tcPr>
            <w:tcW w:w="1995" w:type="dxa"/>
            <w:tcBorders>
              <w:top w:val="nil"/>
              <w:left w:val="outset" w:color="auto" w:sz="6" w:space="0"/>
              <w:bottom w:val="outset" w:color="auto" w:sz="6" w:space="0"/>
              <w:right w:val="outset" w:color="auto" w:sz="6" w:space="0"/>
            </w:tcBorders>
          </w:tcPr>
          <w:p w14:paraId="55CD3623">
            <w:pPr>
              <w:widowControl w:val="0"/>
              <w:autoSpaceDE w:val="0"/>
              <w:autoSpaceDN w:val="0"/>
              <w:spacing w:after="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117 (113–121)</w:t>
            </w:r>
          </w:p>
        </w:tc>
        <w:tc>
          <w:tcPr>
            <w:tcW w:w="1410" w:type="dxa"/>
            <w:tcBorders>
              <w:top w:val="nil"/>
              <w:left w:val="outset" w:color="auto" w:sz="6" w:space="0"/>
              <w:bottom w:val="outset" w:color="auto" w:sz="6" w:space="0"/>
              <w:right w:val="outset" w:color="auto" w:sz="6" w:space="0"/>
            </w:tcBorders>
          </w:tcPr>
          <w:p w14:paraId="3CA2C3F7">
            <w:pPr>
              <w:widowControl w:val="0"/>
              <w:autoSpaceDE w:val="0"/>
              <w:autoSpaceDN w:val="0"/>
              <w:spacing w:after="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96 (89–103)</w:t>
            </w:r>
          </w:p>
        </w:tc>
        <w:tc>
          <w:tcPr>
            <w:tcW w:w="1845" w:type="dxa"/>
            <w:tcBorders>
              <w:top w:val="nil"/>
              <w:left w:val="outset" w:color="auto" w:sz="6" w:space="0"/>
              <w:bottom w:val="outset" w:color="auto" w:sz="6" w:space="0"/>
              <w:right w:val="outset" w:color="auto" w:sz="6" w:space="0"/>
            </w:tcBorders>
          </w:tcPr>
          <w:p w14:paraId="4B44C01C">
            <w:pPr>
              <w:widowControl w:val="0"/>
              <w:autoSpaceDE w:val="0"/>
              <w:autoSpaceDN w:val="0"/>
              <w:spacing w:after="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117 (115–124)</w:t>
            </w:r>
          </w:p>
        </w:tc>
        <w:tc>
          <w:tcPr>
            <w:tcW w:w="1305" w:type="dxa"/>
            <w:tcBorders>
              <w:top w:val="nil"/>
              <w:left w:val="outset" w:color="auto" w:sz="6" w:space="0"/>
              <w:bottom w:val="outset" w:color="auto" w:sz="6" w:space="0"/>
              <w:right w:val="outset" w:color="auto" w:sz="6" w:space="0"/>
            </w:tcBorders>
          </w:tcPr>
          <w:p w14:paraId="278AC2CC">
            <w:pPr>
              <w:widowControl w:val="0"/>
              <w:autoSpaceDE w:val="0"/>
              <w:autoSpaceDN w:val="0"/>
              <w:spacing w:after="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98 (92–104)</w:t>
            </w:r>
          </w:p>
        </w:tc>
        <w:tc>
          <w:tcPr>
            <w:tcW w:w="945" w:type="dxa"/>
            <w:tcBorders>
              <w:top w:val="nil"/>
              <w:left w:val="outset" w:color="auto" w:sz="6" w:space="0"/>
              <w:bottom w:val="outset" w:color="auto" w:sz="6" w:space="0"/>
              <w:right w:val="outset" w:color="auto" w:sz="6" w:space="0"/>
            </w:tcBorders>
          </w:tcPr>
          <w:p w14:paraId="115FD0AC">
            <w:pPr>
              <w:widowControl w:val="0"/>
              <w:autoSpaceDE w:val="0"/>
              <w:autoSpaceDN w:val="0"/>
              <w:spacing w:after="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0,000*</w:t>
            </w:r>
          </w:p>
        </w:tc>
      </w:tr>
      <w:tr w14:paraId="1CCB7BAB">
        <w:tblPrEx>
          <w:tblCellMar>
            <w:top w:w="15" w:type="dxa"/>
            <w:left w:w="15" w:type="dxa"/>
            <w:bottom w:w="15" w:type="dxa"/>
            <w:right w:w="15" w:type="dxa"/>
          </w:tblCellMar>
        </w:tblPrEx>
        <w:tc>
          <w:tcPr>
            <w:tcW w:w="1980" w:type="dxa"/>
            <w:tcBorders>
              <w:top w:val="nil"/>
              <w:left w:val="outset" w:color="auto" w:sz="6" w:space="0"/>
              <w:bottom w:val="outset" w:color="auto" w:sz="6" w:space="0"/>
              <w:right w:val="outset" w:color="auto" w:sz="6" w:space="0"/>
            </w:tcBorders>
          </w:tcPr>
          <w:p w14:paraId="401406B8">
            <w:pPr>
              <w:widowControl w:val="0"/>
              <w:autoSpaceDE w:val="0"/>
              <w:autoSpaceDN w:val="0"/>
              <w:spacing w:after="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Анамнезінде анемияның болуы</w:t>
            </w:r>
          </w:p>
        </w:tc>
        <w:tc>
          <w:tcPr>
            <w:tcW w:w="1995" w:type="dxa"/>
            <w:tcBorders>
              <w:top w:val="nil"/>
              <w:left w:val="outset" w:color="auto" w:sz="6" w:space="0"/>
              <w:bottom w:val="outset" w:color="auto" w:sz="6" w:space="0"/>
              <w:right w:val="outset" w:color="auto" w:sz="6" w:space="0"/>
            </w:tcBorders>
          </w:tcPr>
          <w:p w14:paraId="5B5297C2">
            <w:pPr>
              <w:widowControl w:val="0"/>
              <w:autoSpaceDE w:val="0"/>
              <w:autoSpaceDN w:val="0"/>
              <w:spacing w:after="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5 (11,6%)</w:t>
            </w:r>
          </w:p>
        </w:tc>
        <w:tc>
          <w:tcPr>
            <w:tcW w:w="1410" w:type="dxa"/>
            <w:tcBorders>
              <w:top w:val="nil"/>
              <w:left w:val="outset" w:color="auto" w:sz="6" w:space="0"/>
              <w:bottom w:val="outset" w:color="auto" w:sz="6" w:space="0"/>
              <w:right w:val="outset" w:color="auto" w:sz="6" w:space="0"/>
            </w:tcBorders>
          </w:tcPr>
          <w:p w14:paraId="0A94E24B">
            <w:pPr>
              <w:widowControl w:val="0"/>
              <w:autoSpaceDE w:val="0"/>
              <w:autoSpaceDN w:val="0"/>
              <w:spacing w:after="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40 (100%)</w:t>
            </w:r>
          </w:p>
        </w:tc>
        <w:tc>
          <w:tcPr>
            <w:tcW w:w="1845" w:type="dxa"/>
            <w:tcBorders>
              <w:top w:val="nil"/>
              <w:left w:val="outset" w:color="auto" w:sz="6" w:space="0"/>
              <w:bottom w:val="outset" w:color="auto" w:sz="6" w:space="0"/>
              <w:right w:val="outset" w:color="auto" w:sz="6" w:space="0"/>
            </w:tcBorders>
          </w:tcPr>
          <w:p w14:paraId="0CBA118B">
            <w:pPr>
              <w:widowControl w:val="0"/>
              <w:autoSpaceDE w:val="0"/>
              <w:autoSpaceDN w:val="0"/>
              <w:spacing w:after="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12 (25%)</w:t>
            </w:r>
          </w:p>
        </w:tc>
        <w:tc>
          <w:tcPr>
            <w:tcW w:w="1305" w:type="dxa"/>
            <w:tcBorders>
              <w:top w:val="nil"/>
              <w:left w:val="outset" w:color="auto" w:sz="6" w:space="0"/>
              <w:bottom w:val="outset" w:color="auto" w:sz="6" w:space="0"/>
              <w:right w:val="outset" w:color="auto" w:sz="6" w:space="0"/>
            </w:tcBorders>
          </w:tcPr>
          <w:p w14:paraId="593FC11C">
            <w:pPr>
              <w:widowControl w:val="0"/>
              <w:autoSpaceDE w:val="0"/>
              <w:autoSpaceDN w:val="0"/>
              <w:spacing w:after="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36 (100%)</w:t>
            </w:r>
          </w:p>
        </w:tc>
        <w:tc>
          <w:tcPr>
            <w:tcW w:w="945" w:type="dxa"/>
            <w:tcBorders>
              <w:top w:val="nil"/>
              <w:left w:val="outset" w:color="auto" w:sz="6" w:space="0"/>
              <w:bottom w:val="outset" w:color="auto" w:sz="6" w:space="0"/>
              <w:right w:val="outset" w:color="auto" w:sz="6" w:space="0"/>
            </w:tcBorders>
          </w:tcPr>
          <w:p w14:paraId="7DE0312D">
            <w:pPr>
              <w:widowControl w:val="0"/>
              <w:autoSpaceDE w:val="0"/>
              <w:autoSpaceDN w:val="0"/>
              <w:spacing w:after="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0,043*</w:t>
            </w:r>
          </w:p>
        </w:tc>
      </w:tr>
      <w:tr w14:paraId="449266A2">
        <w:tblPrEx>
          <w:tblCellMar>
            <w:top w:w="15" w:type="dxa"/>
            <w:left w:w="15" w:type="dxa"/>
            <w:bottom w:w="15" w:type="dxa"/>
            <w:right w:w="15" w:type="dxa"/>
          </w:tblCellMar>
        </w:tblPrEx>
        <w:tc>
          <w:tcPr>
            <w:tcW w:w="9510" w:type="dxa"/>
            <w:gridSpan w:val="6"/>
            <w:tcBorders>
              <w:top w:val="nil"/>
              <w:left w:val="outset" w:color="auto" w:sz="6" w:space="0"/>
              <w:bottom w:val="outset" w:color="auto" w:sz="6" w:space="0"/>
              <w:right w:val="outset" w:color="auto" w:sz="6" w:space="0"/>
            </w:tcBorders>
          </w:tcPr>
          <w:p w14:paraId="45540D63">
            <w:pPr>
              <w:widowControl w:val="0"/>
              <w:autoSpaceDE w:val="0"/>
              <w:autoSpaceDN w:val="0"/>
              <w:spacing w:after="0" w:line="276" w:lineRule="auto"/>
              <w:jc w:val="both"/>
              <w:outlineLvl w:val="0"/>
              <w:rPr>
                <w:rFonts w:ascii="Times New Roman" w:hAnsi="Times New Roman" w:eastAsia="Times New Roman" w:cs="Times New Roman"/>
                <w:b/>
                <w:i/>
                <w:sz w:val="28"/>
                <w:szCs w:val="28"/>
                <w:lang w:val="en-US" w:eastAsia="ru-RU"/>
              </w:rPr>
            </w:pPr>
            <w:r>
              <w:rPr>
                <w:rFonts w:ascii="Times New Roman" w:hAnsi="Times New Roman" w:eastAsia="Times New Roman" w:cs="Times New Roman"/>
                <w:b/>
                <w:i/>
                <w:sz w:val="28"/>
                <w:szCs w:val="28"/>
                <w:lang w:val="en-US" w:eastAsia="ru-RU"/>
              </w:rPr>
              <w:t>Жүктілік паритеті бойынша</w:t>
            </w:r>
          </w:p>
        </w:tc>
      </w:tr>
      <w:tr w14:paraId="0FD011BE">
        <w:tblPrEx>
          <w:tblCellMar>
            <w:top w:w="15" w:type="dxa"/>
            <w:left w:w="15" w:type="dxa"/>
            <w:bottom w:w="15" w:type="dxa"/>
            <w:right w:w="15" w:type="dxa"/>
          </w:tblCellMar>
        </w:tblPrEx>
        <w:tc>
          <w:tcPr>
            <w:tcW w:w="1980" w:type="dxa"/>
            <w:tcBorders>
              <w:top w:val="nil"/>
              <w:left w:val="outset" w:color="auto" w:sz="6" w:space="0"/>
              <w:bottom w:val="outset" w:color="auto" w:sz="6" w:space="0"/>
              <w:right w:val="outset" w:color="auto" w:sz="6" w:space="0"/>
            </w:tcBorders>
          </w:tcPr>
          <w:p w14:paraId="3F781C42">
            <w:pPr>
              <w:widowControl w:val="0"/>
              <w:autoSpaceDE w:val="0"/>
              <w:autoSpaceDN w:val="0"/>
              <w:spacing w:after="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Біріншілік жүктілік</w:t>
            </w:r>
          </w:p>
        </w:tc>
        <w:tc>
          <w:tcPr>
            <w:tcW w:w="1995" w:type="dxa"/>
            <w:tcBorders>
              <w:top w:val="outset" w:color="auto" w:sz="6" w:space="0"/>
              <w:left w:val="outset" w:color="auto" w:sz="6" w:space="0"/>
              <w:bottom w:val="outset" w:color="auto" w:sz="6" w:space="0"/>
              <w:right w:val="outset" w:color="auto" w:sz="6" w:space="0"/>
            </w:tcBorders>
          </w:tcPr>
          <w:p w14:paraId="7DE0EDC9">
            <w:pPr>
              <w:widowControl w:val="0"/>
              <w:autoSpaceDE w:val="0"/>
              <w:autoSpaceDN w:val="0"/>
              <w:spacing w:after="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18 (41,8%)</w:t>
            </w:r>
          </w:p>
        </w:tc>
        <w:tc>
          <w:tcPr>
            <w:tcW w:w="1410" w:type="dxa"/>
            <w:tcBorders>
              <w:top w:val="outset" w:color="auto" w:sz="6" w:space="0"/>
              <w:left w:val="outset" w:color="auto" w:sz="6" w:space="0"/>
              <w:bottom w:val="outset" w:color="auto" w:sz="6" w:space="0"/>
              <w:right w:val="outset" w:color="auto" w:sz="6" w:space="0"/>
            </w:tcBorders>
          </w:tcPr>
          <w:p w14:paraId="390F21BE">
            <w:pPr>
              <w:widowControl w:val="0"/>
              <w:autoSpaceDE w:val="0"/>
              <w:autoSpaceDN w:val="0"/>
              <w:spacing w:after="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12 (30%)</w:t>
            </w:r>
          </w:p>
        </w:tc>
        <w:tc>
          <w:tcPr>
            <w:tcW w:w="1845" w:type="dxa"/>
            <w:tcBorders>
              <w:top w:val="outset" w:color="auto" w:sz="6" w:space="0"/>
              <w:left w:val="outset" w:color="auto" w:sz="6" w:space="0"/>
              <w:bottom w:val="outset" w:color="auto" w:sz="6" w:space="0"/>
              <w:right w:val="outset" w:color="auto" w:sz="6" w:space="0"/>
            </w:tcBorders>
          </w:tcPr>
          <w:p w14:paraId="148E5B41">
            <w:pPr>
              <w:widowControl w:val="0"/>
              <w:autoSpaceDE w:val="0"/>
              <w:autoSpaceDN w:val="0"/>
              <w:spacing w:after="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7 (14,5%)</w:t>
            </w:r>
          </w:p>
        </w:tc>
        <w:tc>
          <w:tcPr>
            <w:tcW w:w="1305" w:type="dxa"/>
            <w:tcBorders>
              <w:top w:val="outset" w:color="auto" w:sz="6" w:space="0"/>
              <w:left w:val="outset" w:color="auto" w:sz="6" w:space="0"/>
              <w:bottom w:val="outset" w:color="auto" w:sz="6" w:space="0"/>
              <w:right w:val="outset" w:color="auto" w:sz="6" w:space="0"/>
            </w:tcBorders>
          </w:tcPr>
          <w:p w14:paraId="344F8F4D">
            <w:pPr>
              <w:widowControl w:val="0"/>
              <w:autoSpaceDE w:val="0"/>
              <w:autoSpaceDN w:val="0"/>
              <w:spacing w:after="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13 (36,2%)</w:t>
            </w:r>
          </w:p>
        </w:tc>
        <w:tc>
          <w:tcPr>
            <w:tcW w:w="945" w:type="dxa"/>
            <w:tcBorders>
              <w:top w:val="outset" w:color="auto" w:sz="6" w:space="0"/>
              <w:left w:val="outset" w:color="auto" w:sz="6" w:space="0"/>
              <w:bottom w:val="outset" w:color="auto" w:sz="6" w:space="0"/>
              <w:right w:val="outset" w:color="auto" w:sz="6" w:space="0"/>
            </w:tcBorders>
          </w:tcPr>
          <w:p w14:paraId="6B3949C6">
            <w:pPr>
              <w:widowControl w:val="0"/>
              <w:autoSpaceDE w:val="0"/>
              <w:autoSpaceDN w:val="0"/>
              <w:spacing w:after="0" w:line="276" w:lineRule="auto"/>
              <w:jc w:val="both"/>
              <w:outlineLvl w:val="0"/>
              <w:rPr>
                <w:rFonts w:ascii="Times New Roman" w:hAnsi="Times New Roman" w:eastAsia="Times New Roman" w:cs="Times New Roman"/>
                <w:i/>
                <w:sz w:val="28"/>
                <w:szCs w:val="28"/>
                <w:lang w:val="en-US" w:eastAsia="ru-RU"/>
              </w:rPr>
            </w:pPr>
            <w:r>
              <w:rPr>
                <w:rFonts w:ascii="Times New Roman" w:hAnsi="Times New Roman" w:eastAsia="Times New Roman" w:cs="Times New Roman"/>
                <w:i/>
                <w:sz w:val="28"/>
                <w:szCs w:val="28"/>
                <w:lang w:val="en-US" w:eastAsia="ru-RU"/>
              </w:rPr>
              <w:t>0,048*</w:t>
            </w:r>
          </w:p>
        </w:tc>
      </w:tr>
      <w:tr w14:paraId="0D85AC91">
        <w:tblPrEx>
          <w:tblCellMar>
            <w:top w:w="15" w:type="dxa"/>
            <w:left w:w="15" w:type="dxa"/>
            <w:bottom w:w="15" w:type="dxa"/>
            <w:right w:w="15" w:type="dxa"/>
          </w:tblCellMar>
        </w:tblPrEx>
        <w:tc>
          <w:tcPr>
            <w:tcW w:w="1980" w:type="dxa"/>
            <w:tcBorders>
              <w:top w:val="nil"/>
              <w:left w:val="outset" w:color="auto" w:sz="6" w:space="0"/>
              <w:bottom w:val="outset" w:color="auto" w:sz="6" w:space="0"/>
              <w:right w:val="outset" w:color="auto" w:sz="6" w:space="0"/>
            </w:tcBorders>
          </w:tcPr>
          <w:p w14:paraId="3C454D36">
            <w:pPr>
              <w:widowControl w:val="0"/>
              <w:autoSpaceDE w:val="0"/>
              <w:autoSpaceDN w:val="0"/>
              <w:spacing w:after="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Қайта жүктілік</w:t>
            </w:r>
          </w:p>
        </w:tc>
        <w:tc>
          <w:tcPr>
            <w:tcW w:w="1995" w:type="dxa"/>
            <w:tcBorders>
              <w:top w:val="nil"/>
              <w:left w:val="outset" w:color="auto" w:sz="6" w:space="0"/>
              <w:bottom w:val="outset" w:color="auto" w:sz="6" w:space="0"/>
              <w:right w:val="outset" w:color="auto" w:sz="6" w:space="0"/>
            </w:tcBorders>
          </w:tcPr>
          <w:p w14:paraId="49AFEA62">
            <w:pPr>
              <w:widowControl w:val="0"/>
              <w:autoSpaceDE w:val="0"/>
              <w:autoSpaceDN w:val="0"/>
              <w:spacing w:after="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25 (58,13%)</w:t>
            </w:r>
          </w:p>
        </w:tc>
        <w:tc>
          <w:tcPr>
            <w:tcW w:w="1410" w:type="dxa"/>
            <w:tcBorders>
              <w:top w:val="nil"/>
              <w:left w:val="outset" w:color="auto" w:sz="6" w:space="0"/>
              <w:bottom w:val="outset" w:color="auto" w:sz="6" w:space="0"/>
              <w:right w:val="outset" w:color="auto" w:sz="6" w:space="0"/>
            </w:tcBorders>
          </w:tcPr>
          <w:p w14:paraId="7CBF7C4D">
            <w:pPr>
              <w:widowControl w:val="0"/>
              <w:autoSpaceDE w:val="0"/>
              <w:autoSpaceDN w:val="0"/>
              <w:spacing w:after="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28 (70%)</w:t>
            </w:r>
          </w:p>
        </w:tc>
        <w:tc>
          <w:tcPr>
            <w:tcW w:w="1845" w:type="dxa"/>
            <w:tcBorders>
              <w:top w:val="nil"/>
              <w:left w:val="outset" w:color="auto" w:sz="6" w:space="0"/>
              <w:bottom w:val="outset" w:color="auto" w:sz="6" w:space="0"/>
              <w:right w:val="outset" w:color="auto" w:sz="6" w:space="0"/>
            </w:tcBorders>
          </w:tcPr>
          <w:p w14:paraId="591099D8">
            <w:pPr>
              <w:widowControl w:val="0"/>
              <w:autoSpaceDE w:val="0"/>
              <w:autoSpaceDN w:val="0"/>
              <w:spacing w:after="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41 (85,41%)</w:t>
            </w:r>
          </w:p>
        </w:tc>
        <w:tc>
          <w:tcPr>
            <w:tcW w:w="1305" w:type="dxa"/>
            <w:tcBorders>
              <w:top w:val="nil"/>
              <w:left w:val="outset" w:color="auto" w:sz="6" w:space="0"/>
              <w:bottom w:val="outset" w:color="auto" w:sz="6" w:space="0"/>
              <w:right w:val="outset" w:color="auto" w:sz="6" w:space="0"/>
            </w:tcBorders>
          </w:tcPr>
          <w:p w14:paraId="6CEAE7AE">
            <w:pPr>
              <w:widowControl w:val="0"/>
              <w:autoSpaceDE w:val="0"/>
              <w:autoSpaceDN w:val="0"/>
              <w:spacing w:after="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23 (63,8%)</w:t>
            </w:r>
          </w:p>
        </w:tc>
        <w:tc>
          <w:tcPr>
            <w:tcW w:w="945" w:type="dxa"/>
            <w:tcBorders>
              <w:top w:val="nil"/>
              <w:left w:val="outset" w:color="auto" w:sz="6" w:space="0"/>
              <w:bottom w:val="outset" w:color="auto" w:sz="6" w:space="0"/>
              <w:right w:val="outset" w:color="auto" w:sz="6" w:space="0"/>
            </w:tcBorders>
          </w:tcPr>
          <w:p w14:paraId="0AC6F3DA">
            <w:pPr>
              <w:widowControl w:val="0"/>
              <w:autoSpaceDE w:val="0"/>
              <w:autoSpaceDN w:val="0"/>
              <w:spacing w:after="0" w:line="276" w:lineRule="auto"/>
              <w:jc w:val="both"/>
              <w:outlineLvl w:val="0"/>
              <w:rPr>
                <w:rFonts w:ascii="Times New Roman" w:hAnsi="Times New Roman" w:eastAsia="Times New Roman" w:cs="Times New Roman"/>
                <w:i/>
                <w:sz w:val="28"/>
                <w:szCs w:val="28"/>
                <w:lang w:val="en-US" w:eastAsia="ru-RU"/>
              </w:rPr>
            </w:pPr>
            <w:r>
              <w:rPr>
                <w:rFonts w:ascii="Times New Roman" w:hAnsi="Times New Roman" w:eastAsia="Times New Roman" w:cs="Times New Roman"/>
                <w:i/>
                <w:sz w:val="28"/>
                <w:szCs w:val="28"/>
                <w:lang w:val="en-US" w:eastAsia="ru-RU"/>
              </w:rPr>
              <w:t>0,023*</w:t>
            </w:r>
          </w:p>
        </w:tc>
      </w:tr>
      <w:tr w14:paraId="37B5AADD">
        <w:tblPrEx>
          <w:tblCellMar>
            <w:top w:w="15" w:type="dxa"/>
            <w:left w:w="15" w:type="dxa"/>
            <w:bottom w:w="15" w:type="dxa"/>
            <w:right w:w="15" w:type="dxa"/>
          </w:tblCellMar>
        </w:tblPrEx>
        <w:tc>
          <w:tcPr>
            <w:tcW w:w="9510" w:type="dxa"/>
            <w:gridSpan w:val="6"/>
            <w:tcBorders>
              <w:top w:val="nil"/>
              <w:left w:val="outset" w:color="auto" w:sz="6" w:space="0"/>
              <w:bottom w:val="outset" w:color="auto" w:sz="6" w:space="0"/>
              <w:right w:val="outset" w:color="auto" w:sz="6" w:space="0"/>
            </w:tcBorders>
          </w:tcPr>
          <w:p w14:paraId="5C39FD42">
            <w:pPr>
              <w:widowControl w:val="0"/>
              <w:autoSpaceDE w:val="0"/>
              <w:autoSpaceDN w:val="0"/>
              <w:spacing w:after="0" w:line="276" w:lineRule="auto"/>
              <w:jc w:val="both"/>
              <w:outlineLvl w:val="0"/>
              <w:rPr>
                <w:rFonts w:ascii="Times New Roman" w:hAnsi="Times New Roman" w:eastAsia="Times New Roman" w:cs="Times New Roman"/>
                <w:b/>
                <w:i/>
                <w:sz w:val="28"/>
                <w:szCs w:val="28"/>
                <w:lang w:val="en-US" w:eastAsia="ru-RU"/>
              </w:rPr>
            </w:pPr>
            <w:r>
              <w:rPr>
                <w:rFonts w:ascii="Times New Roman" w:hAnsi="Times New Roman" w:eastAsia="Times New Roman" w:cs="Times New Roman"/>
                <w:b/>
                <w:i/>
                <w:sz w:val="28"/>
                <w:szCs w:val="28"/>
                <w:lang w:val="en-US" w:eastAsia="ru-RU"/>
              </w:rPr>
              <w:t>Зиянды әдеттері бойынша (темекі ішу,</w:t>
            </w:r>
            <w:r>
              <w:rPr>
                <w:rFonts w:ascii="Times New Roman" w:hAnsi="Times New Roman" w:eastAsia="Times New Roman" w:cs="Times New Roman"/>
                <w:b/>
                <w:i/>
                <w:sz w:val="28"/>
                <w:szCs w:val="28"/>
                <w:shd w:val="clear" w:color="auto" w:fill="FFFFFF"/>
                <w:lang w:val="en-US" w:eastAsia="ru-RU"/>
              </w:rPr>
              <w:t xml:space="preserve"> арақ ішу </w:t>
            </w:r>
            <w:r>
              <w:rPr>
                <w:rFonts w:ascii="Times New Roman" w:hAnsi="Times New Roman" w:eastAsia="Times New Roman" w:cs="Times New Roman"/>
                <w:b/>
                <w:i/>
                <w:sz w:val="28"/>
                <w:szCs w:val="28"/>
                <w:lang w:val="en-US" w:eastAsia="ru-RU"/>
              </w:rPr>
              <w:t>және наркотикалық заттар қолдану)</w:t>
            </w:r>
          </w:p>
        </w:tc>
      </w:tr>
      <w:tr w14:paraId="37BE358C">
        <w:tblPrEx>
          <w:tblCellMar>
            <w:top w:w="15" w:type="dxa"/>
            <w:left w:w="15" w:type="dxa"/>
            <w:bottom w:w="15" w:type="dxa"/>
            <w:right w:w="15" w:type="dxa"/>
          </w:tblCellMar>
        </w:tblPrEx>
        <w:tc>
          <w:tcPr>
            <w:tcW w:w="1980" w:type="dxa"/>
            <w:tcBorders>
              <w:top w:val="nil"/>
              <w:left w:val="outset" w:color="auto" w:sz="6" w:space="0"/>
              <w:bottom w:val="outset" w:color="auto" w:sz="6" w:space="0"/>
              <w:right w:val="outset" w:color="auto" w:sz="6" w:space="0"/>
            </w:tcBorders>
          </w:tcPr>
          <w:p w14:paraId="4F68AA9D">
            <w:pPr>
              <w:widowControl w:val="0"/>
              <w:autoSpaceDE w:val="0"/>
              <w:autoSpaceDN w:val="0"/>
              <w:spacing w:after="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Зиянды әдеттері бар</w:t>
            </w:r>
          </w:p>
        </w:tc>
        <w:tc>
          <w:tcPr>
            <w:tcW w:w="1995" w:type="dxa"/>
            <w:tcBorders>
              <w:top w:val="outset" w:color="auto" w:sz="6" w:space="0"/>
              <w:left w:val="outset" w:color="auto" w:sz="6" w:space="0"/>
              <w:bottom w:val="outset" w:color="auto" w:sz="6" w:space="0"/>
              <w:right w:val="outset" w:color="auto" w:sz="6" w:space="0"/>
            </w:tcBorders>
          </w:tcPr>
          <w:p w14:paraId="7D662A10">
            <w:pPr>
              <w:widowControl w:val="0"/>
              <w:autoSpaceDE w:val="0"/>
              <w:autoSpaceDN w:val="0"/>
              <w:spacing w:after="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1 (2,3%)</w:t>
            </w:r>
          </w:p>
        </w:tc>
        <w:tc>
          <w:tcPr>
            <w:tcW w:w="1410" w:type="dxa"/>
            <w:tcBorders>
              <w:top w:val="outset" w:color="auto" w:sz="6" w:space="0"/>
              <w:left w:val="outset" w:color="auto" w:sz="6" w:space="0"/>
              <w:bottom w:val="outset" w:color="auto" w:sz="6" w:space="0"/>
              <w:right w:val="outset" w:color="auto" w:sz="6" w:space="0"/>
            </w:tcBorders>
          </w:tcPr>
          <w:p w14:paraId="5368B0A1">
            <w:pPr>
              <w:widowControl w:val="0"/>
              <w:autoSpaceDE w:val="0"/>
              <w:autoSpaceDN w:val="0"/>
              <w:spacing w:after="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8 (20%)</w:t>
            </w:r>
          </w:p>
        </w:tc>
        <w:tc>
          <w:tcPr>
            <w:tcW w:w="1845" w:type="dxa"/>
            <w:tcBorders>
              <w:top w:val="outset" w:color="auto" w:sz="6" w:space="0"/>
              <w:left w:val="outset" w:color="auto" w:sz="6" w:space="0"/>
              <w:bottom w:val="outset" w:color="auto" w:sz="6" w:space="0"/>
              <w:right w:val="outset" w:color="auto" w:sz="6" w:space="0"/>
            </w:tcBorders>
          </w:tcPr>
          <w:p w14:paraId="724D0466">
            <w:pPr>
              <w:widowControl w:val="0"/>
              <w:autoSpaceDE w:val="0"/>
              <w:autoSpaceDN w:val="0"/>
              <w:spacing w:after="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4 (8,3%)</w:t>
            </w:r>
          </w:p>
        </w:tc>
        <w:tc>
          <w:tcPr>
            <w:tcW w:w="1305" w:type="dxa"/>
            <w:tcBorders>
              <w:top w:val="outset" w:color="auto" w:sz="6" w:space="0"/>
              <w:left w:val="outset" w:color="auto" w:sz="6" w:space="0"/>
              <w:bottom w:val="outset" w:color="auto" w:sz="6" w:space="0"/>
              <w:right w:val="outset" w:color="auto" w:sz="6" w:space="0"/>
            </w:tcBorders>
          </w:tcPr>
          <w:p w14:paraId="0FAEBD2F">
            <w:pPr>
              <w:widowControl w:val="0"/>
              <w:autoSpaceDE w:val="0"/>
              <w:autoSpaceDN w:val="0"/>
              <w:spacing w:after="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13 (36,1%)</w:t>
            </w:r>
          </w:p>
        </w:tc>
        <w:tc>
          <w:tcPr>
            <w:tcW w:w="945" w:type="dxa"/>
            <w:tcBorders>
              <w:top w:val="outset" w:color="auto" w:sz="6" w:space="0"/>
              <w:left w:val="outset" w:color="auto" w:sz="6" w:space="0"/>
              <w:bottom w:val="outset" w:color="auto" w:sz="6" w:space="0"/>
              <w:right w:val="outset" w:color="auto" w:sz="6" w:space="0"/>
            </w:tcBorders>
          </w:tcPr>
          <w:p w14:paraId="3D9C7EEE">
            <w:pPr>
              <w:widowControl w:val="0"/>
              <w:autoSpaceDE w:val="0"/>
              <w:autoSpaceDN w:val="0"/>
              <w:spacing w:after="0" w:line="276" w:lineRule="auto"/>
              <w:jc w:val="both"/>
              <w:outlineLvl w:val="0"/>
              <w:rPr>
                <w:rFonts w:ascii="Times New Roman" w:hAnsi="Times New Roman" w:eastAsia="Times New Roman" w:cs="Times New Roman"/>
                <w:b/>
                <w:i/>
                <w:sz w:val="28"/>
                <w:szCs w:val="28"/>
                <w:lang w:val="en-US" w:eastAsia="ru-RU"/>
              </w:rPr>
            </w:pPr>
            <w:r>
              <w:rPr>
                <w:rFonts w:ascii="Times New Roman" w:hAnsi="Times New Roman" w:eastAsia="Times New Roman" w:cs="Times New Roman"/>
                <w:b/>
                <w:i/>
                <w:sz w:val="28"/>
                <w:szCs w:val="28"/>
                <w:lang w:val="en-US" w:eastAsia="ru-RU"/>
              </w:rPr>
              <w:t>0,027*</w:t>
            </w:r>
          </w:p>
        </w:tc>
      </w:tr>
      <w:tr w14:paraId="6903ED05">
        <w:tblPrEx>
          <w:tblCellMar>
            <w:top w:w="15" w:type="dxa"/>
            <w:left w:w="15" w:type="dxa"/>
            <w:bottom w:w="15" w:type="dxa"/>
            <w:right w:w="15" w:type="dxa"/>
          </w:tblCellMar>
        </w:tblPrEx>
        <w:tc>
          <w:tcPr>
            <w:tcW w:w="1980" w:type="dxa"/>
            <w:tcBorders>
              <w:top w:val="nil"/>
              <w:left w:val="outset" w:color="auto" w:sz="6" w:space="0"/>
              <w:bottom w:val="outset" w:color="auto" w:sz="6" w:space="0"/>
              <w:right w:val="outset" w:color="auto" w:sz="6" w:space="0"/>
            </w:tcBorders>
          </w:tcPr>
          <w:p w14:paraId="17190178">
            <w:pPr>
              <w:widowControl w:val="0"/>
              <w:autoSpaceDE w:val="0"/>
              <w:autoSpaceDN w:val="0"/>
              <w:spacing w:after="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Зиянды әдеттері жоқ</w:t>
            </w:r>
          </w:p>
        </w:tc>
        <w:tc>
          <w:tcPr>
            <w:tcW w:w="1995" w:type="dxa"/>
            <w:tcBorders>
              <w:top w:val="nil"/>
              <w:left w:val="outset" w:color="auto" w:sz="6" w:space="0"/>
              <w:bottom w:val="outset" w:color="auto" w:sz="6" w:space="0"/>
              <w:right w:val="outset" w:color="auto" w:sz="6" w:space="0"/>
            </w:tcBorders>
          </w:tcPr>
          <w:p w14:paraId="355A289E">
            <w:pPr>
              <w:widowControl w:val="0"/>
              <w:autoSpaceDE w:val="0"/>
              <w:autoSpaceDN w:val="0"/>
              <w:spacing w:after="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42 (97,27%)</w:t>
            </w:r>
          </w:p>
        </w:tc>
        <w:tc>
          <w:tcPr>
            <w:tcW w:w="1410" w:type="dxa"/>
            <w:tcBorders>
              <w:top w:val="nil"/>
              <w:left w:val="outset" w:color="auto" w:sz="6" w:space="0"/>
              <w:bottom w:val="outset" w:color="auto" w:sz="6" w:space="0"/>
              <w:right w:val="outset" w:color="auto" w:sz="6" w:space="0"/>
            </w:tcBorders>
          </w:tcPr>
          <w:p w14:paraId="5ED50EF0">
            <w:pPr>
              <w:widowControl w:val="0"/>
              <w:autoSpaceDE w:val="0"/>
              <w:autoSpaceDN w:val="0"/>
              <w:spacing w:after="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32 (80%)</w:t>
            </w:r>
          </w:p>
        </w:tc>
        <w:tc>
          <w:tcPr>
            <w:tcW w:w="1845" w:type="dxa"/>
            <w:tcBorders>
              <w:top w:val="nil"/>
              <w:left w:val="outset" w:color="auto" w:sz="6" w:space="0"/>
              <w:bottom w:val="outset" w:color="auto" w:sz="6" w:space="0"/>
              <w:right w:val="outset" w:color="auto" w:sz="6" w:space="0"/>
            </w:tcBorders>
          </w:tcPr>
          <w:p w14:paraId="2EAAE95A">
            <w:pPr>
              <w:widowControl w:val="0"/>
              <w:autoSpaceDE w:val="0"/>
              <w:autoSpaceDN w:val="0"/>
              <w:spacing w:after="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44 (91,66%)</w:t>
            </w:r>
          </w:p>
        </w:tc>
        <w:tc>
          <w:tcPr>
            <w:tcW w:w="1305" w:type="dxa"/>
            <w:tcBorders>
              <w:top w:val="nil"/>
              <w:left w:val="outset" w:color="auto" w:sz="6" w:space="0"/>
              <w:bottom w:val="outset" w:color="auto" w:sz="6" w:space="0"/>
              <w:right w:val="outset" w:color="auto" w:sz="6" w:space="0"/>
            </w:tcBorders>
          </w:tcPr>
          <w:p w14:paraId="6DC6E534">
            <w:pPr>
              <w:widowControl w:val="0"/>
              <w:autoSpaceDE w:val="0"/>
              <w:autoSpaceDN w:val="0"/>
              <w:spacing w:after="0" w:line="276" w:lineRule="auto"/>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23 (63,9%)</w:t>
            </w:r>
          </w:p>
        </w:tc>
        <w:tc>
          <w:tcPr>
            <w:tcW w:w="945" w:type="dxa"/>
            <w:tcBorders>
              <w:top w:val="nil"/>
              <w:left w:val="outset" w:color="auto" w:sz="6" w:space="0"/>
              <w:bottom w:val="outset" w:color="auto" w:sz="6" w:space="0"/>
              <w:right w:val="outset" w:color="auto" w:sz="6" w:space="0"/>
            </w:tcBorders>
          </w:tcPr>
          <w:p w14:paraId="0253EEFC">
            <w:pPr>
              <w:widowControl w:val="0"/>
              <w:autoSpaceDE w:val="0"/>
              <w:autoSpaceDN w:val="0"/>
              <w:spacing w:after="0" w:line="276" w:lineRule="auto"/>
              <w:jc w:val="both"/>
              <w:outlineLvl w:val="0"/>
              <w:rPr>
                <w:rFonts w:ascii="Times New Roman" w:hAnsi="Times New Roman" w:eastAsia="Times New Roman" w:cs="Times New Roman"/>
                <w:b/>
                <w:i/>
                <w:sz w:val="28"/>
                <w:szCs w:val="28"/>
                <w:lang w:val="en-US" w:eastAsia="ru-RU"/>
              </w:rPr>
            </w:pPr>
            <w:r>
              <w:rPr>
                <w:rFonts w:ascii="Times New Roman" w:hAnsi="Times New Roman" w:eastAsia="Times New Roman" w:cs="Times New Roman"/>
                <w:b/>
                <w:i/>
                <w:sz w:val="28"/>
                <w:szCs w:val="28"/>
                <w:lang w:val="en-US" w:eastAsia="ru-RU"/>
              </w:rPr>
              <w:t>0,000*</w:t>
            </w:r>
          </w:p>
        </w:tc>
      </w:tr>
      <w:tr w14:paraId="25612B97">
        <w:tblPrEx>
          <w:tblCellMar>
            <w:top w:w="15" w:type="dxa"/>
            <w:left w:w="15" w:type="dxa"/>
            <w:bottom w:w="15" w:type="dxa"/>
            <w:right w:w="15" w:type="dxa"/>
          </w:tblCellMar>
        </w:tblPrEx>
        <w:tc>
          <w:tcPr>
            <w:tcW w:w="9510" w:type="dxa"/>
            <w:gridSpan w:val="6"/>
            <w:tcBorders>
              <w:top w:val="nil"/>
              <w:left w:val="outset" w:color="auto" w:sz="6" w:space="0"/>
              <w:bottom w:val="outset" w:color="auto" w:sz="6" w:space="0"/>
              <w:right w:val="outset" w:color="auto" w:sz="6" w:space="0"/>
            </w:tcBorders>
          </w:tcPr>
          <w:p w14:paraId="56A8D0DA">
            <w:pPr>
              <w:widowControl w:val="0"/>
              <w:autoSpaceDE w:val="0"/>
              <w:autoSpaceDN w:val="0"/>
              <w:spacing w:after="0" w:line="276" w:lineRule="auto"/>
              <w:jc w:val="both"/>
              <w:outlineLvl w:val="0"/>
              <w:rPr>
                <w:rFonts w:ascii="Times New Roman" w:hAnsi="Times New Roman" w:eastAsia="Times New Roman" w:cs="Times New Roman"/>
                <w:b/>
                <w:i/>
                <w:sz w:val="28"/>
                <w:szCs w:val="28"/>
                <w:lang w:val="en-US" w:eastAsia="ru-RU"/>
              </w:rPr>
            </w:pPr>
            <w:r>
              <w:rPr>
                <w:rFonts w:ascii="Times New Roman" w:hAnsi="Times New Roman" w:eastAsia="Times New Roman" w:cs="Times New Roman"/>
                <w:i/>
                <w:sz w:val="28"/>
                <w:szCs w:val="28"/>
                <w:lang w:val="en-US" w:eastAsia="ru-RU"/>
              </w:rPr>
              <w:t xml:space="preserve">*–Краскел–Уоллис критерийі бойынша айырмашылығы, көрсеткіштердің өзгеруінің растығы бойынша р&lt;0.05  </w:t>
            </w:r>
          </w:p>
        </w:tc>
      </w:tr>
    </w:tbl>
    <w:p w14:paraId="1BD20504">
      <w:pPr>
        <w:widowControl w:val="0"/>
        <w:autoSpaceDE w:val="0"/>
        <w:autoSpaceDN w:val="0"/>
        <w:spacing w:after="0" w:line="276" w:lineRule="auto"/>
        <w:ind w:firstLine="709"/>
        <w:jc w:val="both"/>
        <w:outlineLvl w:val="0"/>
        <w:rPr>
          <w:rFonts w:ascii="Times New Roman" w:hAnsi="Times New Roman" w:eastAsia="Times New Roman" w:cs="Times New Roman"/>
          <w:color w:val="000000"/>
          <w:sz w:val="28"/>
          <w:szCs w:val="28"/>
          <w:lang w:eastAsia="ru-RU"/>
        </w:rPr>
      </w:pPr>
      <w:r>
        <w:rPr>
          <w:rFonts w:ascii="Times New Roman" w:hAnsi="Times New Roman" w:eastAsia="Times New Roman" w:cs="Times New Roman"/>
          <w:color w:val="000000"/>
          <w:sz w:val="28"/>
          <w:szCs w:val="28"/>
          <w:lang w:eastAsia="ru-RU"/>
        </w:rPr>
        <w:t xml:space="preserve"> </w:t>
      </w:r>
    </w:p>
    <w:p w14:paraId="63173707">
      <w:pPr>
        <w:widowControl w:val="0"/>
        <w:autoSpaceDE w:val="0"/>
        <w:autoSpaceDN w:val="0"/>
        <w:spacing w:after="0" w:line="276" w:lineRule="auto"/>
        <w:ind w:firstLine="709"/>
        <w:jc w:val="both"/>
        <w:outlineLvl w:val="0"/>
        <w:rPr>
          <w:rFonts w:ascii="Times New Roman" w:hAnsi="Times New Roman" w:eastAsia="Times New Roman" w:cs="Times New Roman"/>
          <w:color w:val="000000"/>
          <w:sz w:val="28"/>
          <w:szCs w:val="28"/>
          <w:lang w:eastAsia="ru-RU"/>
        </w:rPr>
      </w:pPr>
      <w:r>
        <w:rPr>
          <w:rFonts w:ascii="Times New Roman" w:hAnsi="Times New Roman" w:eastAsia="Times New Roman" w:cs="Times New Roman"/>
          <w:color w:val="000000"/>
          <w:sz w:val="28"/>
          <w:szCs w:val="28"/>
          <w:lang w:eastAsia="ru-RU"/>
        </w:rPr>
        <w:t>Зерттеуге қатысқан жүкті әйелдердің зиянды әдеттері жалпы сипатталғанымен, олардың әрқайсысының ерекшеліктері тереңірек талданған жоқ. Нәтижелер көрсеткендей, анемиясы мен семіздігі бар төртінші топта зиянды әдеттердің көрсеткіштері айтарлықтай жоғары болды (p&lt;0,027). Бұл нәтижелер зиянды әдеттердің анемия мен семіздікке ықпалын тереңірек зерттеуді қажет етеді.</w:t>
      </w:r>
    </w:p>
    <w:p w14:paraId="0CA6F9D0">
      <w:pPr>
        <w:widowControl w:val="0"/>
        <w:autoSpaceDE w:val="0"/>
        <w:autoSpaceDN w:val="0"/>
        <w:spacing w:after="0" w:line="276" w:lineRule="auto"/>
        <w:ind w:firstLine="709"/>
        <w:jc w:val="both"/>
        <w:outlineLvl w:val="0"/>
        <w:rPr>
          <w:rFonts w:ascii="Times New Roman" w:hAnsi="Times New Roman" w:eastAsia="Times New Roman" w:cs="Times New Roman"/>
          <w:color w:val="000000"/>
          <w:sz w:val="28"/>
          <w:szCs w:val="28"/>
          <w:lang w:eastAsia="ru-RU"/>
        </w:rPr>
      </w:pPr>
      <w:r>
        <w:rPr>
          <w:rFonts w:ascii="Times New Roman" w:hAnsi="Times New Roman" w:eastAsia="Times New Roman" w:cs="Times New Roman"/>
          <w:color w:val="000000"/>
          <w:sz w:val="28"/>
          <w:szCs w:val="28"/>
          <w:lang w:eastAsia="ru-RU"/>
        </w:rPr>
        <w:t>Зерттеуге госпитализацияланған жүкті әйелдердің перифериялық қан көрсеткіштері енгізілді, олардың ішінде: гемоглобин, гематокрит, лейкоциттер, нейтрофилдер, лимфоциттер, тромбоциттер, эозинофилдер және базофилдер сияқты негізгі маркерлер талданды. Зерттеуге гемограмма параметрлеріне ықпал етуі мүмкін дәрілерді қабылдаған пациенттер енгізілген жоқ. Краскел–Уоллис критерийін қолдану арқылы зерттелген топтар арасындағы көрсеткіштердің статистикалық маңызды айырмашылықтары анықталды. Әсіресе келесі параметрлер бойынша маңызды айырмашылықтар тіркелді: гемоглобин (p=0,000), 3-топта қалыпты деңгей байқалса да, 2 және 4-топтарда айтарлықтай төмен болды, бұл анемияның бар екенін растайды. ЭТЖ (p=0,000), 4-топта ең жоғары деңгей тіркелді, бұл қабыну процестерінің белсенділігін көрсетеді. Эритроциттер (p=0,002): 4-топта деңгейі бақылау тобымен салыстырғанда шамамен 5%-ға төмендеді. Гематокрит (p=0,000) 2 және 4-топтарда айтарлықтай төмен.</w:t>
      </w:r>
    </w:p>
    <w:p w14:paraId="7CCA541C">
      <w:pPr>
        <w:widowControl w:val="0"/>
        <w:autoSpaceDE w:val="0"/>
        <w:autoSpaceDN w:val="0"/>
        <w:spacing w:after="0" w:line="276" w:lineRule="auto"/>
        <w:ind w:firstLine="709"/>
        <w:jc w:val="both"/>
        <w:outlineLvl w:val="0"/>
        <w:rPr>
          <w:rFonts w:ascii="Times New Roman" w:hAnsi="Times New Roman" w:eastAsia="Times New Roman" w:cs="Times New Roman"/>
          <w:color w:val="000000"/>
          <w:sz w:val="28"/>
          <w:szCs w:val="28"/>
          <w:lang w:eastAsia="ru-RU"/>
        </w:rPr>
      </w:pPr>
      <w:r>
        <w:rPr>
          <w:rFonts w:ascii="Times New Roman" w:hAnsi="Times New Roman" w:eastAsia="Times New Roman" w:cs="Times New Roman"/>
          <w:color w:val="000000"/>
          <w:sz w:val="28"/>
          <w:szCs w:val="28"/>
          <w:lang w:eastAsia="ru-RU"/>
        </w:rPr>
        <w:t>Семіздігі бар топта (3-топ) лимфоциттер (p=0,003) басқа топтарға қарағанда 4%-ға төмендеді, таяқша ядролық нейтрофилдер (p=0,000) бұл топта айтарлықтай жоғары болды, бұл қабыну процестерінің көрсеткіші болуы мүмкін. Эозинофилдер де (p=0,013)  3-топта ең жоғары мәндері анықталды (6-кесте). Сегментті ядролы нейтрофилдер деңгейінде топтар арасында статистикалық маңызды айырмашылық анықталмады (</w:t>
      </w:r>
      <w:r>
        <w:rPr>
          <w:rFonts w:ascii="Times New Roman" w:hAnsi="Times New Roman" w:eastAsia="Times New Roman" w:cs="Times New Roman"/>
          <w:i/>
          <w:iCs/>
          <w:color w:val="000000"/>
          <w:sz w:val="28"/>
          <w:szCs w:val="28"/>
          <w:lang w:eastAsia="ru-RU"/>
        </w:rPr>
        <w:t>р</w:t>
      </w:r>
      <w:r>
        <w:rPr>
          <w:rFonts w:ascii="Times New Roman" w:hAnsi="Times New Roman" w:eastAsia="Times New Roman" w:cs="Times New Roman"/>
          <w:color w:val="000000"/>
          <w:sz w:val="28"/>
          <w:szCs w:val="28"/>
          <w:lang w:eastAsia="ru-RU"/>
        </w:rPr>
        <w:t>=0,404). Бұл көрсеткіш семіздік немесе анемия жағдайларында сегментті ядролы нейтрофилдер деңгейінің айтарлықтай өзгермейтінін көрсетеді.</w:t>
      </w:r>
    </w:p>
    <w:p w14:paraId="7909B52C">
      <w:pPr>
        <w:widowControl w:val="0"/>
        <w:autoSpaceDE w:val="0"/>
        <w:autoSpaceDN w:val="0"/>
        <w:spacing w:after="0" w:line="276" w:lineRule="auto"/>
        <w:ind w:firstLine="709"/>
        <w:jc w:val="both"/>
        <w:outlineLvl w:val="0"/>
        <w:rPr>
          <w:rFonts w:ascii="Times New Roman" w:hAnsi="Times New Roman" w:eastAsia="Times New Roman" w:cs="Times New Roman"/>
          <w:iCs/>
          <w:color w:val="000000"/>
          <w:sz w:val="28"/>
          <w:szCs w:val="28"/>
          <w:lang w:eastAsia="ru-RU"/>
        </w:rPr>
      </w:pPr>
      <w:r>
        <w:rPr>
          <w:rFonts w:ascii="Times New Roman" w:hAnsi="Times New Roman" w:eastAsia="Times New Roman" w:cs="Times New Roman"/>
          <w:iCs/>
          <w:color w:val="000000"/>
          <w:sz w:val="28"/>
          <w:szCs w:val="28"/>
          <w:lang w:eastAsia="ru-RU"/>
        </w:rPr>
        <w:t xml:space="preserve"> </w:t>
      </w:r>
    </w:p>
    <w:p w14:paraId="047854B2">
      <w:pPr>
        <w:widowControl w:val="0"/>
        <w:autoSpaceDE w:val="0"/>
        <w:autoSpaceDN w:val="0"/>
        <w:spacing w:after="0" w:line="276" w:lineRule="auto"/>
        <w:ind w:firstLine="709"/>
        <w:jc w:val="both"/>
        <w:outlineLvl w:val="0"/>
        <w:rPr>
          <w:rFonts w:ascii="Times New Roman" w:hAnsi="Times New Roman" w:eastAsia="Times New Roman" w:cs="Times New Roman"/>
          <w:iCs/>
          <w:color w:val="000000"/>
          <w:sz w:val="28"/>
          <w:szCs w:val="28"/>
          <w:lang w:eastAsia="ru-RU"/>
        </w:rPr>
      </w:pPr>
      <w:r>
        <w:rPr>
          <w:rFonts w:ascii="Times New Roman" w:hAnsi="Times New Roman" w:eastAsia="Times New Roman" w:cs="Times New Roman"/>
          <w:iCs/>
          <w:color w:val="000000"/>
          <w:sz w:val="28"/>
          <w:szCs w:val="28"/>
          <w:lang w:eastAsia="ru-RU"/>
        </w:rPr>
        <w:t>Кесте – 6. Жүкті әйелдердің зертханалық көрсеткіштерін (гемограмма) салыстырмалы бағалау</w:t>
      </w:r>
    </w:p>
    <w:p w14:paraId="1755DFF2">
      <w:pPr>
        <w:widowControl w:val="0"/>
        <w:autoSpaceDE w:val="0"/>
        <w:autoSpaceDN w:val="0"/>
        <w:spacing w:after="0" w:line="276" w:lineRule="auto"/>
        <w:ind w:firstLine="709"/>
        <w:jc w:val="both"/>
        <w:outlineLvl w:val="0"/>
        <w:rPr>
          <w:rFonts w:ascii="Times New Roman" w:hAnsi="Times New Roman" w:eastAsia="Times New Roman" w:cs="Times New Roman"/>
          <w:iCs/>
          <w:color w:val="000000"/>
          <w:sz w:val="28"/>
          <w:szCs w:val="28"/>
          <w:lang w:eastAsia="ru-RU"/>
        </w:rPr>
      </w:pPr>
    </w:p>
    <w:tbl>
      <w:tblPr>
        <w:tblStyle w:val="5"/>
        <w:tblW w:w="0" w:type="auto"/>
        <w:tblInd w:w="0" w:type="dxa"/>
        <w:tblLayout w:type="fixed"/>
        <w:tblCellMar>
          <w:top w:w="15" w:type="dxa"/>
          <w:left w:w="15" w:type="dxa"/>
          <w:bottom w:w="15" w:type="dxa"/>
          <w:right w:w="15" w:type="dxa"/>
        </w:tblCellMar>
      </w:tblPr>
      <w:tblGrid>
        <w:gridCol w:w="1404"/>
        <w:gridCol w:w="513"/>
        <w:gridCol w:w="1104"/>
        <w:gridCol w:w="513"/>
        <w:gridCol w:w="1104"/>
        <w:gridCol w:w="513"/>
        <w:gridCol w:w="1104"/>
        <w:gridCol w:w="513"/>
        <w:gridCol w:w="1105"/>
        <w:gridCol w:w="1512"/>
      </w:tblGrid>
      <w:tr w14:paraId="5D281743">
        <w:tblPrEx>
          <w:tblCellMar>
            <w:top w:w="15" w:type="dxa"/>
            <w:left w:w="15" w:type="dxa"/>
            <w:bottom w:w="15" w:type="dxa"/>
            <w:right w:w="15" w:type="dxa"/>
          </w:tblCellMar>
        </w:tblPrEx>
        <w:tc>
          <w:tcPr>
            <w:tcW w:w="9385" w:type="dxa"/>
            <w:gridSpan w:val="10"/>
            <w:tcBorders>
              <w:top w:val="outset" w:color="auto" w:sz="6" w:space="0"/>
              <w:left w:val="outset" w:color="auto" w:sz="6" w:space="0"/>
              <w:bottom w:val="outset" w:color="auto" w:sz="6" w:space="0"/>
              <w:right w:val="outset" w:color="auto" w:sz="6" w:space="0"/>
            </w:tcBorders>
          </w:tcPr>
          <w:p w14:paraId="547D11FE">
            <w:pPr>
              <w:widowControl w:val="0"/>
              <w:autoSpaceDE w:val="0"/>
              <w:autoSpaceDN w:val="0"/>
              <w:spacing w:after="0" w:line="276" w:lineRule="auto"/>
              <w:jc w:val="both"/>
              <w:outlineLvl w:val="0"/>
              <w:rPr>
                <w:rFonts w:ascii="Times New Roman" w:hAnsi="Times New Roman" w:eastAsia="Times New Roman" w:cs="Times New Roman"/>
                <w:b/>
                <w:bCs/>
                <w:sz w:val="28"/>
                <w:szCs w:val="28"/>
              </w:rPr>
            </w:pPr>
            <w:r>
              <w:rPr>
                <w:rFonts w:ascii="Times New Roman" w:hAnsi="Times New Roman" w:eastAsia="Times New Roman" w:cs="Times New Roman"/>
                <w:b/>
                <w:bCs/>
                <w:i/>
                <w:iCs/>
                <w:sz w:val="28"/>
                <w:szCs w:val="28"/>
              </w:rPr>
              <w:t>Гемограмма</w:t>
            </w:r>
          </w:p>
        </w:tc>
      </w:tr>
      <w:tr w14:paraId="26FB5FA2">
        <w:tblPrEx>
          <w:tblCellMar>
            <w:top w:w="15" w:type="dxa"/>
            <w:left w:w="15" w:type="dxa"/>
            <w:bottom w:w="15" w:type="dxa"/>
            <w:right w:w="15" w:type="dxa"/>
          </w:tblCellMar>
        </w:tblPrEx>
        <w:tc>
          <w:tcPr>
            <w:tcW w:w="1404" w:type="dxa"/>
            <w:vMerge w:val="restart"/>
            <w:tcBorders>
              <w:top w:val="nil"/>
              <w:left w:val="outset" w:color="auto" w:sz="6" w:space="0"/>
              <w:bottom w:val="outset" w:color="auto" w:sz="6" w:space="0"/>
              <w:right w:val="outset" w:color="auto" w:sz="6" w:space="0"/>
            </w:tcBorders>
          </w:tcPr>
          <w:p w14:paraId="661144F2">
            <w:pPr>
              <w:widowControl w:val="0"/>
              <w:autoSpaceDE w:val="0"/>
              <w:autoSpaceDN w:val="0"/>
              <w:spacing w:after="0" w:line="276" w:lineRule="auto"/>
              <w:jc w:val="both"/>
              <w:outlineLvl w:val="0"/>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Pr>
              <w:t>Көрсеткіштер</w:t>
            </w:r>
          </w:p>
        </w:tc>
        <w:tc>
          <w:tcPr>
            <w:tcW w:w="1617" w:type="dxa"/>
            <w:gridSpan w:val="2"/>
            <w:tcBorders>
              <w:top w:val="outset" w:color="auto" w:sz="6" w:space="0"/>
              <w:left w:val="outset" w:color="auto" w:sz="6" w:space="0"/>
              <w:bottom w:val="outset" w:color="auto" w:sz="6" w:space="0"/>
              <w:right w:val="outset" w:color="auto" w:sz="6" w:space="0"/>
            </w:tcBorders>
          </w:tcPr>
          <w:p w14:paraId="3F8EEF6D">
            <w:pPr>
              <w:widowControl w:val="0"/>
              <w:autoSpaceDE w:val="0"/>
              <w:autoSpaceDN w:val="0"/>
              <w:spacing w:after="0" w:line="276" w:lineRule="auto"/>
              <w:jc w:val="both"/>
              <w:outlineLvl w:val="0"/>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Pr>
              <w:t>Бақылау</w:t>
            </w:r>
          </w:p>
          <w:p w14:paraId="6983F792">
            <w:pPr>
              <w:widowControl w:val="0"/>
              <w:autoSpaceDE w:val="0"/>
              <w:autoSpaceDN w:val="0"/>
              <w:spacing w:after="0" w:line="276" w:lineRule="auto"/>
              <w:jc w:val="both"/>
              <w:outlineLvl w:val="0"/>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Pr>
              <w:t>тобы</w:t>
            </w:r>
          </w:p>
        </w:tc>
        <w:tc>
          <w:tcPr>
            <w:tcW w:w="4852" w:type="dxa"/>
            <w:gridSpan w:val="6"/>
            <w:tcBorders>
              <w:top w:val="outset" w:color="auto" w:sz="6" w:space="0"/>
              <w:left w:val="outset" w:color="auto" w:sz="6" w:space="0"/>
              <w:bottom w:val="outset" w:color="auto" w:sz="6" w:space="0"/>
              <w:right w:val="outset" w:color="auto" w:sz="6" w:space="0"/>
            </w:tcBorders>
          </w:tcPr>
          <w:p w14:paraId="06BD871E">
            <w:pPr>
              <w:widowControl w:val="0"/>
              <w:autoSpaceDE w:val="0"/>
              <w:autoSpaceDN w:val="0"/>
              <w:spacing w:after="0" w:line="276" w:lineRule="auto"/>
              <w:jc w:val="both"/>
              <w:outlineLvl w:val="0"/>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Pr>
              <w:t>Негізгі топтар</w:t>
            </w:r>
          </w:p>
        </w:tc>
        <w:tc>
          <w:tcPr>
            <w:tcW w:w="1512" w:type="dxa"/>
            <w:vMerge w:val="restart"/>
            <w:tcBorders>
              <w:top w:val="outset" w:color="auto" w:sz="6" w:space="0"/>
              <w:left w:val="outset" w:color="auto" w:sz="6" w:space="0"/>
              <w:right w:val="single" w:color="auto" w:sz="4" w:space="0"/>
            </w:tcBorders>
          </w:tcPr>
          <w:p w14:paraId="2FF52CAB">
            <w:pPr>
              <w:widowControl w:val="0"/>
              <w:autoSpaceDE w:val="0"/>
              <w:autoSpaceDN w:val="0"/>
              <w:spacing w:after="0" w:line="276" w:lineRule="auto"/>
              <w:jc w:val="both"/>
              <w:outlineLvl w:val="0"/>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Pr>
              <w:t>Kruskal–Wallis test (H)</w:t>
            </w:r>
          </w:p>
          <w:p w14:paraId="6BBF5A62">
            <w:pPr>
              <w:spacing w:after="0" w:line="276" w:lineRule="auto"/>
              <w:jc w:val="both"/>
              <w:outlineLvl w:val="0"/>
              <w:rPr>
                <w:rFonts w:ascii="Times New Roman" w:hAnsi="Times New Roman" w:eastAsia="Times New Roman" w:cs="Times New Roman"/>
                <w:sz w:val="28"/>
                <w:szCs w:val="28"/>
                <w:lang w:eastAsia="ru-RU"/>
              </w:rPr>
            </w:pPr>
          </w:p>
        </w:tc>
      </w:tr>
      <w:tr w14:paraId="727E9BEF">
        <w:tblPrEx>
          <w:tblCellMar>
            <w:top w:w="15" w:type="dxa"/>
            <w:left w:w="15" w:type="dxa"/>
            <w:bottom w:w="15" w:type="dxa"/>
            <w:right w:w="15" w:type="dxa"/>
          </w:tblCellMar>
        </w:tblPrEx>
        <w:tc>
          <w:tcPr>
            <w:tcW w:w="1404" w:type="dxa"/>
            <w:vMerge w:val="continue"/>
            <w:tcBorders>
              <w:top w:val="nil"/>
              <w:left w:val="outset" w:color="auto" w:sz="6" w:space="0"/>
              <w:bottom w:val="outset" w:color="auto" w:sz="6" w:space="0"/>
              <w:right w:val="outset" w:color="auto" w:sz="6" w:space="0"/>
            </w:tcBorders>
            <w:vAlign w:val="center"/>
          </w:tcPr>
          <w:p w14:paraId="14909169">
            <w:pPr>
              <w:spacing w:after="0" w:line="276" w:lineRule="auto"/>
              <w:jc w:val="both"/>
              <w:outlineLvl w:val="0"/>
              <w:rPr>
                <w:rFonts w:ascii="Times New Roman" w:hAnsi="Times New Roman" w:eastAsia="Times New Roman" w:cs="Times New Roman"/>
                <w:b/>
                <w:bCs/>
                <w:sz w:val="28"/>
                <w:szCs w:val="28"/>
              </w:rPr>
            </w:pPr>
          </w:p>
        </w:tc>
        <w:tc>
          <w:tcPr>
            <w:tcW w:w="1617" w:type="dxa"/>
            <w:gridSpan w:val="2"/>
            <w:tcBorders>
              <w:top w:val="nil"/>
              <w:left w:val="outset" w:color="auto" w:sz="6" w:space="0"/>
              <w:bottom w:val="outset" w:color="auto" w:sz="6" w:space="0"/>
              <w:right w:val="outset" w:color="auto" w:sz="6" w:space="0"/>
            </w:tcBorders>
          </w:tcPr>
          <w:p w14:paraId="09272E88">
            <w:pPr>
              <w:widowControl w:val="0"/>
              <w:autoSpaceDE w:val="0"/>
              <w:autoSpaceDN w:val="0"/>
              <w:spacing w:after="0" w:line="276" w:lineRule="auto"/>
              <w:jc w:val="both"/>
              <w:outlineLvl w:val="0"/>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Pr>
              <w:t>1 топ</w:t>
            </w:r>
          </w:p>
          <w:p w14:paraId="3F30D286">
            <w:pPr>
              <w:widowControl w:val="0"/>
              <w:autoSpaceDE w:val="0"/>
              <w:autoSpaceDN w:val="0"/>
              <w:spacing w:after="0" w:line="276" w:lineRule="auto"/>
              <w:jc w:val="both"/>
              <w:outlineLvl w:val="0"/>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Pr>
              <w:t>(n=43)</w:t>
            </w:r>
          </w:p>
        </w:tc>
        <w:tc>
          <w:tcPr>
            <w:tcW w:w="1617" w:type="dxa"/>
            <w:gridSpan w:val="2"/>
            <w:tcBorders>
              <w:top w:val="nil"/>
              <w:left w:val="outset" w:color="auto" w:sz="6" w:space="0"/>
              <w:bottom w:val="outset" w:color="auto" w:sz="6" w:space="0"/>
              <w:right w:val="outset" w:color="auto" w:sz="6" w:space="0"/>
            </w:tcBorders>
          </w:tcPr>
          <w:p w14:paraId="4F094495">
            <w:pPr>
              <w:widowControl w:val="0"/>
              <w:autoSpaceDE w:val="0"/>
              <w:autoSpaceDN w:val="0"/>
              <w:spacing w:after="0" w:line="276" w:lineRule="auto"/>
              <w:jc w:val="both"/>
              <w:outlineLvl w:val="0"/>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Pr>
              <w:t>2 топ</w:t>
            </w:r>
          </w:p>
          <w:p w14:paraId="3198E32B">
            <w:pPr>
              <w:widowControl w:val="0"/>
              <w:autoSpaceDE w:val="0"/>
              <w:autoSpaceDN w:val="0"/>
              <w:spacing w:after="0" w:line="276" w:lineRule="auto"/>
              <w:jc w:val="both"/>
              <w:outlineLvl w:val="0"/>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Pr>
              <w:t>(n=40)</w:t>
            </w:r>
          </w:p>
        </w:tc>
        <w:tc>
          <w:tcPr>
            <w:tcW w:w="1617" w:type="dxa"/>
            <w:gridSpan w:val="2"/>
            <w:tcBorders>
              <w:top w:val="nil"/>
              <w:left w:val="outset" w:color="auto" w:sz="6" w:space="0"/>
              <w:bottom w:val="outset" w:color="auto" w:sz="6" w:space="0"/>
              <w:right w:val="outset" w:color="auto" w:sz="6" w:space="0"/>
            </w:tcBorders>
          </w:tcPr>
          <w:p w14:paraId="514FB6B2">
            <w:pPr>
              <w:widowControl w:val="0"/>
              <w:autoSpaceDE w:val="0"/>
              <w:autoSpaceDN w:val="0"/>
              <w:spacing w:after="0" w:line="276" w:lineRule="auto"/>
              <w:jc w:val="both"/>
              <w:outlineLvl w:val="0"/>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Pr>
              <w:t>3 топ</w:t>
            </w:r>
          </w:p>
          <w:p w14:paraId="7A20AED7">
            <w:pPr>
              <w:widowControl w:val="0"/>
              <w:autoSpaceDE w:val="0"/>
              <w:autoSpaceDN w:val="0"/>
              <w:spacing w:after="0" w:line="276" w:lineRule="auto"/>
              <w:jc w:val="both"/>
              <w:outlineLvl w:val="0"/>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Pr>
              <w:t>(n=48)</w:t>
            </w:r>
          </w:p>
        </w:tc>
        <w:tc>
          <w:tcPr>
            <w:tcW w:w="1618" w:type="dxa"/>
            <w:gridSpan w:val="2"/>
            <w:tcBorders>
              <w:top w:val="outset" w:color="auto" w:sz="6" w:space="0"/>
              <w:left w:val="outset" w:color="auto" w:sz="6" w:space="0"/>
              <w:bottom w:val="outset" w:color="auto" w:sz="6" w:space="0"/>
              <w:right w:val="outset" w:color="auto" w:sz="6" w:space="0"/>
            </w:tcBorders>
          </w:tcPr>
          <w:p w14:paraId="52E068B0">
            <w:pPr>
              <w:widowControl w:val="0"/>
              <w:autoSpaceDE w:val="0"/>
              <w:autoSpaceDN w:val="0"/>
              <w:spacing w:after="0" w:line="276" w:lineRule="auto"/>
              <w:jc w:val="both"/>
              <w:outlineLvl w:val="0"/>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Pr>
              <w:t>4 топ</w:t>
            </w:r>
          </w:p>
          <w:p w14:paraId="061D0813">
            <w:pPr>
              <w:widowControl w:val="0"/>
              <w:autoSpaceDE w:val="0"/>
              <w:autoSpaceDN w:val="0"/>
              <w:spacing w:after="0" w:line="276" w:lineRule="auto"/>
              <w:jc w:val="both"/>
              <w:outlineLvl w:val="0"/>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Pr>
              <w:t>(n=36)</w:t>
            </w:r>
          </w:p>
        </w:tc>
        <w:tc>
          <w:tcPr>
            <w:tcW w:w="1512" w:type="dxa"/>
            <w:vMerge w:val="continue"/>
            <w:tcBorders>
              <w:left w:val="outset" w:color="auto" w:sz="6" w:space="0"/>
              <w:bottom w:val="outset" w:color="auto" w:sz="6" w:space="0"/>
              <w:right w:val="single" w:color="auto" w:sz="4" w:space="0"/>
            </w:tcBorders>
            <w:vAlign w:val="center"/>
          </w:tcPr>
          <w:p w14:paraId="22CB761B">
            <w:pPr>
              <w:spacing w:after="0" w:line="276" w:lineRule="auto"/>
              <w:jc w:val="both"/>
              <w:outlineLvl w:val="0"/>
              <w:rPr>
                <w:rFonts w:ascii="Times New Roman" w:hAnsi="Times New Roman" w:eastAsia="Times New Roman" w:cs="Times New Roman"/>
                <w:sz w:val="28"/>
                <w:szCs w:val="28"/>
                <w:lang w:eastAsia="ru-RU"/>
              </w:rPr>
            </w:pPr>
          </w:p>
        </w:tc>
      </w:tr>
      <w:tr w14:paraId="0E766832">
        <w:tblPrEx>
          <w:tblCellMar>
            <w:top w:w="15" w:type="dxa"/>
            <w:left w:w="15" w:type="dxa"/>
            <w:bottom w:w="15" w:type="dxa"/>
            <w:right w:w="15" w:type="dxa"/>
          </w:tblCellMar>
        </w:tblPrEx>
        <w:tc>
          <w:tcPr>
            <w:tcW w:w="1404" w:type="dxa"/>
            <w:tcBorders>
              <w:top w:val="nil"/>
              <w:left w:val="outset" w:color="auto" w:sz="6" w:space="0"/>
              <w:bottom w:val="outset" w:color="auto" w:sz="6" w:space="0"/>
              <w:right w:val="outset" w:color="auto" w:sz="6" w:space="0"/>
            </w:tcBorders>
          </w:tcPr>
          <w:p w14:paraId="7E310D84">
            <w:pPr>
              <w:widowControl w:val="0"/>
              <w:autoSpaceDE w:val="0"/>
              <w:autoSpaceDN w:val="0"/>
              <w:spacing w:after="0" w:line="276" w:lineRule="auto"/>
              <w:jc w:val="both"/>
              <w:outlineLvl w:val="0"/>
              <w:rPr>
                <w:rFonts w:ascii="Times New Roman" w:hAnsi="Times New Roman" w:eastAsia="Times New Roman" w:cs="Times New Roman"/>
                <w:sz w:val="28"/>
                <w:szCs w:val="28"/>
              </w:rPr>
            </w:pPr>
          </w:p>
        </w:tc>
        <w:tc>
          <w:tcPr>
            <w:tcW w:w="513" w:type="dxa"/>
            <w:tcBorders>
              <w:top w:val="nil"/>
              <w:left w:val="outset" w:color="auto" w:sz="6" w:space="0"/>
              <w:bottom w:val="outset" w:color="auto" w:sz="6" w:space="0"/>
              <w:right w:val="outset" w:color="auto" w:sz="6" w:space="0"/>
            </w:tcBorders>
          </w:tcPr>
          <w:p w14:paraId="3AE07E29">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Ме</w:t>
            </w:r>
          </w:p>
        </w:tc>
        <w:tc>
          <w:tcPr>
            <w:tcW w:w="1104" w:type="dxa"/>
            <w:tcBorders>
              <w:top w:val="nil"/>
              <w:left w:val="outset" w:color="auto" w:sz="6" w:space="0"/>
              <w:bottom w:val="outset" w:color="auto" w:sz="6" w:space="0"/>
              <w:right w:val="outset" w:color="auto" w:sz="6" w:space="0"/>
            </w:tcBorders>
          </w:tcPr>
          <w:p w14:paraId="5154B273">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Q25– Q75</w:t>
            </w:r>
          </w:p>
        </w:tc>
        <w:tc>
          <w:tcPr>
            <w:tcW w:w="513" w:type="dxa"/>
            <w:tcBorders>
              <w:top w:val="nil"/>
              <w:left w:val="outset" w:color="auto" w:sz="6" w:space="0"/>
              <w:bottom w:val="outset" w:color="auto" w:sz="6" w:space="0"/>
              <w:right w:val="outset" w:color="auto" w:sz="6" w:space="0"/>
            </w:tcBorders>
          </w:tcPr>
          <w:p w14:paraId="394ED186">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Ме</w:t>
            </w:r>
          </w:p>
        </w:tc>
        <w:tc>
          <w:tcPr>
            <w:tcW w:w="1104" w:type="dxa"/>
            <w:tcBorders>
              <w:top w:val="nil"/>
              <w:left w:val="outset" w:color="auto" w:sz="6" w:space="0"/>
              <w:bottom w:val="outset" w:color="auto" w:sz="6" w:space="0"/>
              <w:right w:val="outset" w:color="auto" w:sz="6" w:space="0"/>
            </w:tcBorders>
          </w:tcPr>
          <w:p w14:paraId="1FC8E32A">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Q25– Q75</w:t>
            </w:r>
          </w:p>
        </w:tc>
        <w:tc>
          <w:tcPr>
            <w:tcW w:w="513" w:type="dxa"/>
            <w:tcBorders>
              <w:top w:val="nil"/>
              <w:left w:val="outset" w:color="auto" w:sz="6" w:space="0"/>
              <w:bottom w:val="outset" w:color="auto" w:sz="6" w:space="0"/>
              <w:right w:val="outset" w:color="auto" w:sz="6" w:space="0"/>
            </w:tcBorders>
          </w:tcPr>
          <w:p w14:paraId="78BF81CB">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Ме</w:t>
            </w:r>
          </w:p>
        </w:tc>
        <w:tc>
          <w:tcPr>
            <w:tcW w:w="1104" w:type="dxa"/>
            <w:tcBorders>
              <w:top w:val="outset" w:color="auto" w:sz="6" w:space="0"/>
              <w:left w:val="outset" w:color="auto" w:sz="6" w:space="0"/>
              <w:bottom w:val="outset" w:color="auto" w:sz="6" w:space="0"/>
              <w:right w:val="outset" w:color="auto" w:sz="6" w:space="0"/>
            </w:tcBorders>
          </w:tcPr>
          <w:p w14:paraId="65E34A25">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Q25– Q75</w:t>
            </w:r>
          </w:p>
        </w:tc>
        <w:tc>
          <w:tcPr>
            <w:tcW w:w="513" w:type="dxa"/>
            <w:tcBorders>
              <w:top w:val="outset" w:color="auto" w:sz="6" w:space="0"/>
              <w:left w:val="outset" w:color="auto" w:sz="6" w:space="0"/>
              <w:bottom w:val="outset" w:color="auto" w:sz="6" w:space="0"/>
              <w:right w:val="outset" w:color="auto" w:sz="6" w:space="0"/>
            </w:tcBorders>
          </w:tcPr>
          <w:p w14:paraId="5BA061F4">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Ме</w:t>
            </w:r>
          </w:p>
        </w:tc>
        <w:tc>
          <w:tcPr>
            <w:tcW w:w="1105" w:type="dxa"/>
            <w:tcBorders>
              <w:top w:val="outset" w:color="auto" w:sz="6" w:space="0"/>
              <w:left w:val="outset" w:color="auto" w:sz="6" w:space="0"/>
              <w:bottom w:val="outset" w:color="auto" w:sz="6" w:space="0"/>
              <w:right w:val="outset" w:color="auto" w:sz="6" w:space="0"/>
            </w:tcBorders>
          </w:tcPr>
          <w:p w14:paraId="32DAB8CA">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Q25– Q75</w:t>
            </w:r>
          </w:p>
        </w:tc>
        <w:tc>
          <w:tcPr>
            <w:tcW w:w="1512" w:type="dxa"/>
            <w:tcBorders>
              <w:top w:val="outset" w:color="auto" w:sz="6" w:space="0"/>
              <w:left w:val="outset" w:color="auto" w:sz="6" w:space="0"/>
              <w:bottom w:val="outset" w:color="auto" w:sz="6" w:space="0"/>
              <w:right w:val="single" w:color="auto" w:sz="4" w:space="0"/>
            </w:tcBorders>
          </w:tcPr>
          <w:p w14:paraId="0BEFED7C">
            <w:pPr>
              <w:spacing w:after="0" w:line="276" w:lineRule="auto"/>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b/>
                <w:bCs/>
                <w:sz w:val="28"/>
                <w:szCs w:val="28"/>
              </w:rPr>
              <w:t>p &lt; 0.05*</w:t>
            </w:r>
          </w:p>
        </w:tc>
      </w:tr>
      <w:tr w14:paraId="0335A256">
        <w:tblPrEx>
          <w:tblCellMar>
            <w:top w:w="15" w:type="dxa"/>
            <w:left w:w="15" w:type="dxa"/>
            <w:bottom w:w="15" w:type="dxa"/>
            <w:right w:w="15" w:type="dxa"/>
          </w:tblCellMar>
        </w:tblPrEx>
        <w:tc>
          <w:tcPr>
            <w:tcW w:w="1404" w:type="dxa"/>
            <w:tcBorders>
              <w:top w:val="nil"/>
              <w:left w:val="outset" w:color="auto" w:sz="6" w:space="0"/>
              <w:bottom w:val="outset" w:color="auto" w:sz="6" w:space="0"/>
              <w:right w:val="outset" w:color="auto" w:sz="6" w:space="0"/>
            </w:tcBorders>
          </w:tcPr>
          <w:p w14:paraId="6F87F7D7">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Гемоглобин, г/л</w:t>
            </w:r>
          </w:p>
        </w:tc>
        <w:tc>
          <w:tcPr>
            <w:tcW w:w="513" w:type="dxa"/>
            <w:tcBorders>
              <w:top w:val="nil"/>
              <w:left w:val="outset" w:color="auto" w:sz="6" w:space="0"/>
              <w:bottom w:val="outset" w:color="auto" w:sz="6" w:space="0"/>
              <w:right w:val="outset" w:color="auto" w:sz="6" w:space="0"/>
            </w:tcBorders>
          </w:tcPr>
          <w:p w14:paraId="4E3BDD5A">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112,0</w:t>
            </w:r>
          </w:p>
        </w:tc>
        <w:tc>
          <w:tcPr>
            <w:tcW w:w="1104" w:type="dxa"/>
            <w:tcBorders>
              <w:top w:val="nil"/>
              <w:left w:val="outset" w:color="auto" w:sz="6" w:space="0"/>
              <w:bottom w:val="outset" w:color="auto" w:sz="6" w:space="0"/>
              <w:right w:val="outset" w:color="auto" w:sz="6" w:space="0"/>
            </w:tcBorders>
          </w:tcPr>
          <w:p w14:paraId="69A7B569">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99,0–115,0</w:t>
            </w:r>
          </w:p>
        </w:tc>
        <w:tc>
          <w:tcPr>
            <w:tcW w:w="513" w:type="dxa"/>
            <w:tcBorders>
              <w:top w:val="nil"/>
              <w:left w:val="outset" w:color="auto" w:sz="6" w:space="0"/>
              <w:bottom w:val="outset" w:color="auto" w:sz="6" w:space="0"/>
              <w:right w:val="outset" w:color="auto" w:sz="6" w:space="0"/>
            </w:tcBorders>
          </w:tcPr>
          <w:p w14:paraId="61E776AD">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96,0</w:t>
            </w:r>
          </w:p>
        </w:tc>
        <w:tc>
          <w:tcPr>
            <w:tcW w:w="1104" w:type="dxa"/>
            <w:tcBorders>
              <w:top w:val="nil"/>
              <w:left w:val="outset" w:color="auto" w:sz="6" w:space="0"/>
              <w:bottom w:val="outset" w:color="auto" w:sz="6" w:space="0"/>
              <w:right w:val="outset" w:color="auto" w:sz="6" w:space="0"/>
            </w:tcBorders>
          </w:tcPr>
          <w:p w14:paraId="07C0BC85">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89,0–103,0</w:t>
            </w:r>
          </w:p>
        </w:tc>
        <w:tc>
          <w:tcPr>
            <w:tcW w:w="513" w:type="dxa"/>
            <w:tcBorders>
              <w:top w:val="nil"/>
              <w:left w:val="outset" w:color="auto" w:sz="6" w:space="0"/>
              <w:bottom w:val="outset" w:color="auto" w:sz="6" w:space="0"/>
              <w:right w:val="outset" w:color="auto" w:sz="6" w:space="0"/>
            </w:tcBorders>
          </w:tcPr>
          <w:p w14:paraId="080CDC7D">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117,0</w:t>
            </w:r>
          </w:p>
        </w:tc>
        <w:tc>
          <w:tcPr>
            <w:tcW w:w="1104" w:type="dxa"/>
            <w:tcBorders>
              <w:top w:val="nil"/>
              <w:left w:val="outset" w:color="auto" w:sz="6" w:space="0"/>
              <w:bottom w:val="outset" w:color="auto" w:sz="6" w:space="0"/>
              <w:right w:val="outset" w:color="auto" w:sz="6" w:space="0"/>
            </w:tcBorders>
          </w:tcPr>
          <w:p w14:paraId="7073544A">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115,0–124,0</w:t>
            </w:r>
          </w:p>
        </w:tc>
        <w:tc>
          <w:tcPr>
            <w:tcW w:w="513" w:type="dxa"/>
            <w:tcBorders>
              <w:top w:val="nil"/>
              <w:left w:val="outset" w:color="auto" w:sz="6" w:space="0"/>
              <w:bottom w:val="outset" w:color="auto" w:sz="6" w:space="0"/>
              <w:right w:val="outset" w:color="auto" w:sz="6" w:space="0"/>
            </w:tcBorders>
          </w:tcPr>
          <w:p w14:paraId="13759385">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98,0</w:t>
            </w:r>
          </w:p>
        </w:tc>
        <w:tc>
          <w:tcPr>
            <w:tcW w:w="1105" w:type="dxa"/>
            <w:tcBorders>
              <w:top w:val="nil"/>
              <w:left w:val="outset" w:color="auto" w:sz="6" w:space="0"/>
              <w:bottom w:val="outset" w:color="auto" w:sz="6" w:space="0"/>
              <w:right w:val="outset" w:color="auto" w:sz="6" w:space="0"/>
            </w:tcBorders>
          </w:tcPr>
          <w:p w14:paraId="20A919E1">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92,0–104,0</w:t>
            </w:r>
          </w:p>
        </w:tc>
        <w:tc>
          <w:tcPr>
            <w:tcW w:w="1512" w:type="dxa"/>
            <w:tcBorders>
              <w:top w:val="nil"/>
              <w:left w:val="outset" w:color="auto" w:sz="6" w:space="0"/>
              <w:bottom w:val="outset" w:color="auto" w:sz="6" w:space="0"/>
              <w:right w:val="single" w:color="auto" w:sz="4" w:space="0"/>
            </w:tcBorders>
          </w:tcPr>
          <w:p w14:paraId="125287EF">
            <w:pPr>
              <w:spacing w:after="0" w:line="276" w:lineRule="auto"/>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b/>
                <w:sz w:val="28"/>
                <w:szCs w:val="28"/>
              </w:rPr>
              <w:t>0,000</w:t>
            </w:r>
            <w:r>
              <w:rPr>
                <w:rFonts w:ascii="Times New Roman" w:hAnsi="Times New Roman" w:eastAsia="Times New Roman" w:cs="Times New Roman"/>
                <w:b/>
                <w:i/>
                <w:sz w:val="28"/>
                <w:szCs w:val="28"/>
              </w:rPr>
              <w:t>*</w:t>
            </w:r>
          </w:p>
        </w:tc>
      </w:tr>
      <w:tr w14:paraId="43AE3300">
        <w:tblPrEx>
          <w:tblCellMar>
            <w:top w:w="15" w:type="dxa"/>
            <w:left w:w="15" w:type="dxa"/>
            <w:bottom w:w="15" w:type="dxa"/>
            <w:right w:w="15" w:type="dxa"/>
          </w:tblCellMar>
        </w:tblPrEx>
        <w:tc>
          <w:tcPr>
            <w:tcW w:w="1404" w:type="dxa"/>
            <w:tcBorders>
              <w:top w:val="nil"/>
              <w:left w:val="outset" w:color="auto" w:sz="6" w:space="0"/>
              <w:bottom w:val="outset" w:color="auto" w:sz="6" w:space="0"/>
              <w:right w:val="outset" w:color="auto" w:sz="6" w:space="0"/>
            </w:tcBorders>
          </w:tcPr>
          <w:p w14:paraId="3BA16DCC">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ЭТТ</w:t>
            </w:r>
          </w:p>
        </w:tc>
        <w:tc>
          <w:tcPr>
            <w:tcW w:w="513" w:type="dxa"/>
            <w:tcBorders>
              <w:top w:val="nil"/>
              <w:left w:val="outset" w:color="auto" w:sz="6" w:space="0"/>
              <w:bottom w:val="outset" w:color="auto" w:sz="6" w:space="0"/>
              <w:right w:val="outset" w:color="auto" w:sz="6" w:space="0"/>
            </w:tcBorders>
          </w:tcPr>
          <w:p w14:paraId="3AFDF990">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30,0</w:t>
            </w:r>
          </w:p>
        </w:tc>
        <w:tc>
          <w:tcPr>
            <w:tcW w:w="1104" w:type="dxa"/>
            <w:tcBorders>
              <w:top w:val="nil"/>
              <w:left w:val="outset" w:color="auto" w:sz="6" w:space="0"/>
              <w:bottom w:val="outset" w:color="auto" w:sz="6" w:space="0"/>
              <w:right w:val="outset" w:color="auto" w:sz="6" w:space="0"/>
            </w:tcBorders>
          </w:tcPr>
          <w:p w14:paraId="3C5BDA9C">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26,0–30,0</w:t>
            </w:r>
          </w:p>
        </w:tc>
        <w:tc>
          <w:tcPr>
            <w:tcW w:w="513" w:type="dxa"/>
            <w:tcBorders>
              <w:top w:val="nil"/>
              <w:left w:val="outset" w:color="auto" w:sz="6" w:space="0"/>
              <w:bottom w:val="outset" w:color="auto" w:sz="6" w:space="0"/>
              <w:right w:val="outset" w:color="auto" w:sz="6" w:space="0"/>
            </w:tcBorders>
          </w:tcPr>
          <w:p w14:paraId="2ADE6F96">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33,0</w:t>
            </w:r>
          </w:p>
        </w:tc>
        <w:tc>
          <w:tcPr>
            <w:tcW w:w="1104" w:type="dxa"/>
            <w:tcBorders>
              <w:top w:val="nil"/>
              <w:left w:val="outset" w:color="auto" w:sz="6" w:space="0"/>
              <w:bottom w:val="outset" w:color="auto" w:sz="6" w:space="0"/>
              <w:right w:val="outset" w:color="auto" w:sz="6" w:space="0"/>
            </w:tcBorders>
          </w:tcPr>
          <w:p w14:paraId="326B89F6">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31,0–38,0</w:t>
            </w:r>
          </w:p>
        </w:tc>
        <w:tc>
          <w:tcPr>
            <w:tcW w:w="513" w:type="dxa"/>
            <w:tcBorders>
              <w:top w:val="nil"/>
              <w:left w:val="outset" w:color="auto" w:sz="6" w:space="0"/>
              <w:bottom w:val="outset" w:color="auto" w:sz="6" w:space="0"/>
              <w:right w:val="outset" w:color="auto" w:sz="6" w:space="0"/>
            </w:tcBorders>
          </w:tcPr>
          <w:p w14:paraId="62986C3F">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35,0</w:t>
            </w:r>
          </w:p>
        </w:tc>
        <w:tc>
          <w:tcPr>
            <w:tcW w:w="1104" w:type="dxa"/>
            <w:tcBorders>
              <w:top w:val="nil"/>
              <w:left w:val="outset" w:color="auto" w:sz="6" w:space="0"/>
              <w:bottom w:val="outset" w:color="auto" w:sz="6" w:space="0"/>
              <w:right w:val="outset" w:color="auto" w:sz="6" w:space="0"/>
            </w:tcBorders>
          </w:tcPr>
          <w:p w14:paraId="0C7D8A7A">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33,0–36,0</w:t>
            </w:r>
          </w:p>
        </w:tc>
        <w:tc>
          <w:tcPr>
            <w:tcW w:w="513" w:type="dxa"/>
            <w:tcBorders>
              <w:top w:val="nil"/>
              <w:left w:val="outset" w:color="auto" w:sz="6" w:space="0"/>
              <w:bottom w:val="outset" w:color="auto" w:sz="6" w:space="0"/>
              <w:right w:val="outset" w:color="auto" w:sz="6" w:space="0"/>
            </w:tcBorders>
          </w:tcPr>
          <w:p w14:paraId="473618C7">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38,0</w:t>
            </w:r>
          </w:p>
        </w:tc>
        <w:tc>
          <w:tcPr>
            <w:tcW w:w="1105" w:type="dxa"/>
            <w:tcBorders>
              <w:top w:val="nil"/>
              <w:left w:val="outset" w:color="auto" w:sz="6" w:space="0"/>
              <w:bottom w:val="outset" w:color="auto" w:sz="6" w:space="0"/>
              <w:right w:val="outset" w:color="auto" w:sz="6" w:space="0"/>
            </w:tcBorders>
          </w:tcPr>
          <w:p w14:paraId="01615573">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33,0–39,0</w:t>
            </w:r>
          </w:p>
        </w:tc>
        <w:tc>
          <w:tcPr>
            <w:tcW w:w="1512" w:type="dxa"/>
            <w:tcBorders>
              <w:top w:val="nil"/>
              <w:left w:val="outset" w:color="auto" w:sz="6" w:space="0"/>
              <w:bottom w:val="outset" w:color="auto" w:sz="6" w:space="0"/>
              <w:right w:val="single" w:color="auto" w:sz="4" w:space="0"/>
            </w:tcBorders>
          </w:tcPr>
          <w:p w14:paraId="0E17D760">
            <w:pPr>
              <w:spacing w:after="0" w:line="276" w:lineRule="auto"/>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b/>
                <w:sz w:val="28"/>
                <w:szCs w:val="28"/>
              </w:rPr>
              <w:t>0,000</w:t>
            </w:r>
            <w:r>
              <w:rPr>
                <w:rFonts w:ascii="Times New Roman" w:hAnsi="Times New Roman" w:eastAsia="Times New Roman" w:cs="Times New Roman"/>
                <w:b/>
                <w:i/>
                <w:sz w:val="28"/>
                <w:szCs w:val="28"/>
              </w:rPr>
              <w:t>*</w:t>
            </w:r>
          </w:p>
        </w:tc>
      </w:tr>
      <w:tr w14:paraId="2936788C">
        <w:tblPrEx>
          <w:tblCellMar>
            <w:top w:w="15" w:type="dxa"/>
            <w:left w:w="15" w:type="dxa"/>
            <w:bottom w:w="15" w:type="dxa"/>
            <w:right w:w="15" w:type="dxa"/>
          </w:tblCellMar>
        </w:tblPrEx>
        <w:tc>
          <w:tcPr>
            <w:tcW w:w="1404" w:type="dxa"/>
            <w:tcBorders>
              <w:top w:val="nil"/>
              <w:left w:val="outset" w:color="auto" w:sz="6" w:space="0"/>
              <w:bottom w:val="outset" w:color="auto" w:sz="6" w:space="0"/>
              <w:right w:val="outset" w:color="auto" w:sz="6" w:space="0"/>
            </w:tcBorders>
          </w:tcPr>
          <w:p w14:paraId="0CE76407">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Лейкоциттер, х 10</w:t>
            </w:r>
            <w:r>
              <w:rPr>
                <w:rFonts w:ascii="Times New Roman" w:hAnsi="Times New Roman" w:eastAsia="Times New Roman" w:cs="Times New Roman"/>
                <w:sz w:val="28"/>
                <w:szCs w:val="28"/>
                <w:vertAlign w:val="superscript"/>
              </w:rPr>
              <w:t>9</w:t>
            </w:r>
          </w:p>
        </w:tc>
        <w:tc>
          <w:tcPr>
            <w:tcW w:w="513" w:type="dxa"/>
            <w:tcBorders>
              <w:top w:val="nil"/>
              <w:left w:val="outset" w:color="auto" w:sz="6" w:space="0"/>
              <w:bottom w:val="outset" w:color="auto" w:sz="6" w:space="0"/>
              <w:right w:val="outset" w:color="auto" w:sz="6" w:space="0"/>
            </w:tcBorders>
          </w:tcPr>
          <w:p w14:paraId="23F5143F">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8,4</w:t>
            </w:r>
          </w:p>
        </w:tc>
        <w:tc>
          <w:tcPr>
            <w:tcW w:w="1104" w:type="dxa"/>
            <w:tcBorders>
              <w:top w:val="nil"/>
              <w:left w:val="outset" w:color="auto" w:sz="6" w:space="0"/>
              <w:bottom w:val="outset" w:color="auto" w:sz="6" w:space="0"/>
              <w:right w:val="outset" w:color="auto" w:sz="6" w:space="0"/>
            </w:tcBorders>
          </w:tcPr>
          <w:p w14:paraId="0C16751B">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7,7–10,7</w:t>
            </w:r>
          </w:p>
        </w:tc>
        <w:tc>
          <w:tcPr>
            <w:tcW w:w="513" w:type="dxa"/>
            <w:tcBorders>
              <w:top w:val="nil"/>
              <w:left w:val="outset" w:color="auto" w:sz="6" w:space="0"/>
              <w:bottom w:val="outset" w:color="auto" w:sz="6" w:space="0"/>
              <w:right w:val="outset" w:color="auto" w:sz="6" w:space="0"/>
            </w:tcBorders>
          </w:tcPr>
          <w:p w14:paraId="54973378">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9,95</w:t>
            </w:r>
          </w:p>
        </w:tc>
        <w:tc>
          <w:tcPr>
            <w:tcW w:w="1104" w:type="dxa"/>
            <w:tcBorders>
              <w:top w:val="nil"/>
              <w:left w:val="outset" w:color="auto" w:sz="6" w:space="0"/>
              <w:bottom w:val="outset" w:color="auto" w:sz="6" w:space="0"/>
              <w:right w:val="outset" w:color="auto" w:sz="6" w:space="0"/>
            </w:tcBorders>
          </w:tcPr>
          <w:p w14:paraId="479E784E">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8,0–12,4</w:t>
            </w:r>
          </w:p>
        </w:tc>
        <w:tc>
          <w:tcPr>
            <w:tcW w:w="513" w:type="dxa"/>
            <w:tcBorders>
              <w:top w:val="nil"/>
              <w:left w:val="outset" w:color="auto" w:sz="6" w:space="0"/>
              <w:bottom w:val="outset" w:color="auto" w:sz="6" w:space="0"/>
              <w:right w:val="outset" w:color="auto" w:sz="6" w:space="0"/>
            </w:tcBorders>
          </w:tcPr>
          <w:p w14:paraId="257A2FE4">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10,5</w:t>
            </w:r>
          </w:p>
        </w:tc>
        <w:tc>
          <w:tcPr>
            <w:tcW w:w="1104" w:type="dxa"/>
            <w:tcBorders>
              <w:top w:val="nil"/>
              <w:left w:val="outset" w:color="auto" w:sz="6" w:space="0"/>
              <w:bottom w:val="outset" w:color="auto" w:sz="6" w:space="0"/>
              <w:right w:val="outset" w:color="auto" w:sz="6" w:space="0"/>
            </w:tcBorders>
          </w:tcPr>
          <w:p w14:paraId="5B8BF25A">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8,3–12,0</w:t>
            </w:r>
          </w:p>
        </w:tc>
        <w:tc>
          <w:tcPr>
            <w:tcW w:w="513" w:type="dxa"/>
            <w:tcBorders>
              <w:top w:val="nil"/>
              <w:left w:val="outset" w:color="auto" w:sz="6" w:space="0"/>
              <w:bottom w:val="outset" w:color="auto" w:sz="6" w:space="0"/>
              <w:right w:val="outset" w:color="auto" w:sz="6" w:space="0"/>
            </w:tcBorders>
          </w:tcPr>
          <w:p w14:paraId="22DD4D33">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11,5</w:t>
            </w:r>
          </w:p>
        </w:tc>
        <w:tc>
          <w:tcPr>
            <w:tcW w:w="1105" w:type="dxa"/>
            <w:tcBorders>
              <w:top w:val="nil"/>
              <w:left w:val="outset" w:color="auto" w:sz="6" w:space="0"/>
              <w:bottom w:val="outset" w:color="auto" w:sz="6" w:space="0"/>
              <w:right w:val="outset" w:color="auto" w:sz="6" w:space="0"/>
            </w:tcBorders>
          </w:tcPr>
          <w:p w14:paraId="1EE76396">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8,7–14,5</w:t>
            </w:r>
          </w:p>
        </w:tc>
        <w:tc>
          <w:tcPr>
            <w:tcW w:w="1512" w:type="dxa"/>
            <w:tcBorders>
              <w:top w:val="nil"/>
              <w:left w:val="outset" w:color="auto" w:sz="6" w:space="0"/>
              <w:bottom w:val="outset" w:color="auto" w:sz="6" w:space="0"/>
              <w:right w:val="single" w:color="auto" w:sz="4" w:space="0"/>
            </w:tcBorders>
          </w:tcPr>
          <w:p w14:paraId="2DE444F7">
            <w:pPr>
              <w:spacing w:after="0" w:line="276" w:lineRule="auto"/>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rPr>
              <w:t>0,081</w:t>
            </w:r>
          </w:p>
        </w:tc>
      </w:tr>
      <w:tr w14:paraId="591B9BE4">
        <w:tblPrEx>
          <w:tblCellMar>
            <w:top w:w="15" w:type="dxa"/>
            <w:left w:w="15" w:type="dxa"/>
            <w:bottom w:w="15" w:type="dxa"/>
            <w:right w:w="15" w:type="dxa"/>
          </w:tblCellMar>
        </w:tblPrEx>
        <w:tc>
          <w:tcPr>
            <w:tcW w:w="1404" w:type="dxa"/>
            <w:tcBorders>
              <w:top w:val="nil"/>
              <w:left w:val="outset" w:color="auto" w:sz="6" w:space="0"/>
              <w:bottom w:val="outset" w:color="auto" w:sz="6" w:space="0"/>
              <w:right w:val="outset" w:color="auto" w:sz="6" w:space="0"/>
            </w:tcBorders>
          </w:tcPr>
          <w:p w14:paraId="29BB4AE8">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Эритроциттер, х 10</w:t>
            </w:r>
            <w:r>
              <w:rPr>
                <w:rFonts w:ascii="Times New Roman" w:hAnsi="Times New Roman" w:eastAsia="Times New Roman" w:cs="Times New Roman"/>
                <w:sz w:val="28"/>
                <w:szCs w:val="28"/>
                <w:vertAlign w:val="superscript"/>
              </w:rPr>
              <w:t>12</w:t>
            </w:r>
          </w:p>
        </w:tc>
        <w:tc>
          <w:tcPr>
            <w:tcW w:w="513" w:type="dxa"/>
            <w:tcBorders>
              <w:top w:val="nil"/>
              <w:left w:val="outset" w:color="auto" w:sz="6" w:space="0"/>
              <w:bottom w:val="outset" w:color="auto" w:sz="6" w:space="0"/>
              <w:right w:val="outset" w:color="auto" w:sz="6" w:space="0"/>
            </w:tcBorders>
          </w:tcPr>
          <w:p w14:paraId="11357B07">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4,63</w:t>
            </w:r>
          </w:p>
        </w:tc>
        <w:tc>
          <w:tcPr>
            <w:tcW w:w="1104" w:type="dxa"/>
            <w:tcBorders>
              <w:top w:val="nil"/>
              <w:left w:val="outset" w:color="auto" w:sz="6" w:space="0"/>
              <w:bottom w:val="outset" w:color="auto" w:sz="6" w:space="0"/>
              <w:right w:val="outset" w:color="auto" w:sz="6" w:space="0"/>
            </w:tcBorders>
          </w:tcPr>
          <w:p w14:paraId="4BBD7FBA">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4,04–5,34</w:t>
            </w:r>
          </w:p>
        </w:tc>
        <w:tc>
          <w:tcPr>
            <w:tcW w:w="513" w:type="dxa"/>
            <w:tcBorders>
              <w:top w:val="nil"/>
              <w:left w:val="outset" w:color="auto" w:sz="6" w:space="0"/>
              <w:bottom w:val="outset" w:color="auto" w:sz="6" w:space="0"/>
              <w:right w:val="outset" w:color="auto" w:sz="6" w:space="0"/>
            </w:tcBorders>
          </w:tcPr>
          <w:p w14:paraId="3FD9E7A6">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3,98</w:t>
            </w:r>
          </w:p>
        </w:tc>
        <w:tc>
          <w:tcPr>
            <w:tcW w:w="1104" w:type="dxa"/>
            <w:tcBorders>
              <w:top w:val="nil"/>
              <w:left w:val="outset" w:color="auto" w:sz="6" w:space="0"/>
              <w:bottom w:val="outset" w:color="auto" w:sz="6" w:space="0"/>
              <w:right w:val="outset" w:color="auto" w:sz="6" w:space="0"/>
            </w:tcBorders>
          </w:tcPr>
          <w:p w14:paraId="2598A66B">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3,74–4,20</w:t>
            </w:r>
          </w:p>
        </w:tc>
        <w:tc>
          <w:tcPr>
            <w:tcW w:w="513" w:type="dxa"/>
            <w:tcBorders>
              <w:top w:val="nil"/>
              <w:left w:val="outset" w:color="auto" w:sz="6" w:space="0"/>
              <w:bottom w:val="outset" w:color="auto" w:sz="6" w:space="0"/>
              <w:right w:val="outset" w:color="auto" w:sz="6" w:space="0"/>
            </w:tcBorders>
          </w:tcPr>
          <w:p w14:paraId="6C352BEA">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4,12</w:t>
            </w:r>
          </w:p>
        </w:tc>
        <w:tc>
          <w:tcPr>
            <w:tcW w:w="1104" w:type="dxa"/>
            <w:tcBorders>
              <w:top w:val="nil"/>
              <w:left w:val="outset" w:color="auto" w:sz="6" w:space="0"/>
              <w:bottom w:val="outset" w:color="auto" w:sz="6" w:space="0"/>
              <w:right w:val="outset" w:color="auto" w:sz="6" w:space="0"/>
            </w:tcBorders>
          </w:tcPr>
          <w:p w14:paraId="4EE29011">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3,96–4,29</w:t>
            </w:r>
          </w:p>
        </w:tc>
        <w:tc>
          <w:tcPr>
            <w:tcW w:w="513" w:type="dxa"/>
            <w:tcBorders>
              <w:top w:val="nil"/>
              <w:left w:val="outset" w:color="auto" w:sz="6" w:space="0"/>
              <w:bottom w:val="outset" w:color="auto" w:sz="6" w:space="0"/>
              <w:right w:val="outset" w:color="auto" w:sz="6" w:space="0"/>
            </w:tcBorders>
          </w:tcPr>
          <w:p w14:paraId="64BDB0EB">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3,88</w:t>
            </w:r>
          </w:p>
        </w:tc>
        <w:tc>
          <w:tcPr>
            <w:tcW w:w="1105" w:type="dxa"/>
            <w:tcBorders>
              <w:top w:val="nil"/>
              <w:left w:val="outset" w:color="auto" w:sz="6" w:space="0"/>
              <w:bottom w:val="outset" w:color="auto" w:sz="6" w:space="0"/>
              <w:right w:val="outset" w:color="auto" w:sz="6" w:space="0"/>
            </w:tcBorders>
          </w:tcPr>
          <w:p w14:paraId="5C3911EB">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3,42–4,07</w:t>
            </w:r>
          </w:p>
        </w:tc>
        <w:tc>
          <w:tcPr>
            <w:tcW w:w="1512" w:type="dxa"/>
            <w:tcBorders>
              <w:top w:val="nil"/>
              <w:left w:val="outset" w:color="auto" w:sz="6" w:space="0"/>
              <w:bottom w:val="outset" w:color="auto" w:sz="6" w:space="0"/>
              <w:right w:val="single" w:color="auto" w:sz="4" w:space="0"/>
            </w:tcBorders>
          </w:tcPr>
          <w:p w14:paraId="14714974">
            <w:pPr>
              <w:spacing w:after="0" w:line="276" w:lineRule="auto"/>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b/>
                <w:sz w:val="28"/>
                <w:szCs w:val="28"/>
              </w:rPr>
              <w:t>0,002</w:t>
            </w:r>
            <w:r>
              <w:rPr>
                <w:rFonts w:ascii="Times New Roman" w:hAnsi="Times New Roman" w:eastAsia="Times New Roman" w:cs="Times New Roman"/>
                <w:b/>
                <w:i/>
                <w:sz w:val="28"/>
                <w:szCs w:val="28"/>
              </w:rPr>
              <w:t>*</w:t>
            </w:r>
          </w:p>
        </w:tc>
      </w:tr>
      <w:tr w14:paraId="1EEA5981">
        <w:tblPrEx>
          <w:tblCellMar>
            <w:top w:w="15" w:type="dxa"/>
            <w:left w:w="15" w:type="dxa"/>
            <w:bottom w:w="15" w:type="dxa"/>
            <w:right w:w="15" w:type="dxa"/>
          </w:tblCellMar>
        </w:tblPrEx>
        <w:tc>
          <w:tcPr>
            <w:tcW w:w="1404" w:type="dxa"/>
            <w:tcBorders>
              <w:top w:val="nil"/>
              <w:left w:val="outset" w:color="auto" w:sz="6" w:space="0"/>
              <w:bottom w:val="outset" w:color="auto" w:sz="6" w:space="0"/>
              <w:right w:val="outset" w:color="auto" w:sz="6" w:space="0"/>
            </w:tcBorders>
          </w:tcPr>
          <w:p w14:paraId="13384EE0">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Гемотокрит</w:t>
            </w:r>
          </w:p>
        </w:tc>
        <w:tc>
          <w:tcPr>
            <w:tcW w:w="513" w:type="dxa"/>
            <w:tcBorders>
              <w:top w:val="nil"/>
              <w:left w:val="outset" w:color="auto" w:sz="6" w:space="0"/>
              <w:bottom w:val="outset" w:color="auto" w:sz="6" w:space="0"/>
              <w:right w:val="outset" w:color="auto" w:sz="6" w:space="0"/>
            </w:tcBorders>
          </w:tcPr>
          <w:p w14:paraId="7236A111">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0,35</w:t>
            </w:r>
          </w:p>
        </w:tc>
        <w:tc>
          <w:tcPr>
            <w:tcW w:w="1104" w:type="dxa"/>
            <w:tcBorders>
              <w:top w:val="nil"/>
              <w:left w:val="outset" w:color="auto" w:sz="6" w:space="0"/>
              <w:bottom w:val="outset" w:color="auto" w:sz="6" w:space="0"/>
              <w:right w:val="outset" w:color="auto" w:sz="6" w:space="0"/>
            </w:tcBorders>
          </w:tcPr>
          <w:p w14:paraId="34CE0422">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0,33–0,36</w:t>
            </w:r>
          </w:p>
        </w:tc>
        <w:tc>
          <w:tcPr>
            <w:tcW w:w="513" w:type="dxa"/>
            <w:tcBorders>
              <w:top w:val="nil"/>
              <w:left w:val="outset" w:color="auto" w:sz="6" w:space="0"/>
              <w:bottom w:val="outset" w:color="auto" w:sz="6" w:space="0"/>
              <w:right w:val="outset" w:color="auto" w:sz="6" w:space="0"/>
            </w:tcBorders>
          </w:tcPr>
          <w:p w14:paraId="5E816909">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0,31</w:t>
            </w:r>
          </w:p>
        </w:tc>
        <w:tc>
          <w:tcPr>
            <w:tcW w:w="1104" w:type="dxa"/>
            <w:tcBorders>
              <w:top w:val="nil"/>
              <w:left w:val="outset" w:color="auto" w:sz="6" w:space="0"/>
              <w:bottom w:val="outset" w:color="auto" w:sz="6" w:space="0"/>
              <w:right w:val="outset" w:color="auto" w:sz="6" w:space="0"/>
            </w:tcBorders>
          </w:tcPr>
          <w:p w14:paraId="25A7728F">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0,29–0,31</w:t>
            </w:r>
          </w:p>
        </w:tc>
        <w:tc>
          <w:tcPr>
            <w:tcW w:w="513" w:type="dxa"/>
            <w:tcBorders>
              <w:top w:val="nil"/>
              <w:left w:val="outset" w:color="auto" w:sz="6" w:space="0"/>
              <w:bottom w:val="outset" w:color="auto" w:sz="6" w:space="0"/>
              <w:right w:val="outset" w:color="auto" w:sz="6" w:space="0"/>
            </w:tcBorders>
          </w:tcPr>
          <w:p w14:paraId="23E2AE32">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0,33</w:t>
            </w:r>
          </w:p>
        </w:tc>
        <w:tc>
          <w:tcPr>
            <w:tcW w:w="1104" w:type="dxa"/>
            <w:tcBorders>
              <w:top w:val="nil"/>
              <w:left w:val="outset" w:color="auto" w:sz="6" w:space="0"/>
              <w:bottom w:val="outset" w:color="auto" w:sz="6" w:space="0"/>
              <w:right w:val="outset" w:color="auto" w:sz="6" w:space="0"/>
            </w:tcBorders>
          </w:tcPr>
          <w:p w14:paraId="4A416A43">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0,32–0,35</w:t>
            </w:r>
          </w:p>
        </w:tc>
        <w:tc>
          <w:tcPr>
            <w:tcW w:w="513" w:type="dxa"/>
            <w:tcBorders>
              <w:top w:val="nil"/>
              <w:left w:val="outset" w:color="auto" w:sz="6" w:space="0"/>
              <w:bottom w:val="outset" w:color="auto" w:sz="6" w:space="0"/>
              <w:right w:val="outset" w:color="auto" w:sz="6" w:space="0"/>
            </w:tcBorders>
          </w:tcPr>
          <w:p w14:paraId="4A966BB9">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0,30</w:t>
            </w:r>
          </w:p>
        </w:tc>
        <w:tc>
          <w:tcPr>
            <w:tcW w:w="1105" w:type="dxa"/>
            <w:tcBorders>
              <w:top w:val="nil"/>
              <w:left w:val="outset" w:color="auto" w:sz="6" w:space="0"/>
              <w:bottom w:val="outset" w:color="auto" w:sz="6" w:space="0"/>
              <w:right w:val="outset" w:color="auto" w:sz="6" w:space="0"/>
            </w:tcBorders>
          </w:tcPr>
          <w:p w14:paraId="07AF7AD1">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0,29–0,31</w:t>
            </w:r>
          </w:p>
        </w:tc>
        <w:tc>
          <w:tcPr>
            <w:tcW w:w="1512" w:type="dxa"/>
            <w:tcBorders>
              <w:top w:val="nil"/>
              <w:left w:val="outset" w:color="auto" w:sz="6" w:space="0"/>
              <w:bottom w:val="outset" w:color="auto" w:sz="6" w:space="0"/>
              <w:right w:val="single" w:color="auto" w:sz="4" w:space="0"/>
            </w:tcBorders>
          </w:tcPr>
          <w:p w14:paraId="720758E6">
            <w:pPr>
              <w:spacing w:after="0" w:line="276" w:lineRule="auto"/>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b/>
                <w:sz w:val="28"/>
                <w:szCs w:val="28"/>
              </w:rPr>
              <w:t>0,000</w:t>
            </w:r>
            <w:r>
              <w:rPr>
                <w:rFonts w:ascii="Times New Roman" w:hAnsi="Times New Roman" w:eastAsia="Times New Roman" w:cs="Times New Roman"/>
                <w:b/>
                <w:i/>
                <w:sz w:val="28"/>
                <w:szCs w:val="28"/>
              </w:rPr>
              <w:t>*</w:t>
            </w:r>
          </w:p>
        </w:tc>
      </w:tr>
      <w:tr w14:paraId="1A99DF78">
        <w:tblPrEx>
          <w:tblCellMar>
            <w:top w:w="15" w:type="dxa"/>
            <w:left w:w="15" w:type="dxa"/>
            <w:bottom w:w="15" w:type="dxa"/>
            <w:right w:w="15" w:type="dxa"/>
          </w:tblCellMar>
        </w:tblPrEx>
        <w:tc>
          <w:tcPr>
            <w:tcW w:w="1404" w:type="dxa"/>
            <w:tcBorders>
              <w:top w:val="nil"/>
              <w:left w:val="outset" w:color="auto" w:sz="6" w:space="0"/>
              <w:bottom w:val="outset" w:color="auto" w:sz="6" w:space="0"/>
              <w:right w:val="outset" w:color="auto" w:sz="6" w:space="0"/>
            </w:tcBorders>
          </w:tcPr>
          <w:p w14:paraId="1F787DB6">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Тромбоциттер, х 10</w:t>
            </w:r>
            <w:r>
              <w:rPr>
                <w:rFonts w:ascii="Times New Roman" w:hAnsi="Times New Roman" w:eastAsia="Times New Roman" w:cs="Times New Roman"/>
                <w:sz w:val="28"/>
                <w:szCs w:val="28"/>
                <w:vertAlign w:val="superscript"/>
              </w:rPr>
              <w:t>9</w:t>
            </w:r>
          </w:p>
        </w:tc>
        <w:tc>
          <w:tcPr>
            <w:tcW w:w="513" w:type="dxa"/>
            <w:tcBorders>
              <w:top w:val="nil"/>
              <w:left w:val="outset" w:color="auto" w:sz="6" w:space="0"/>
              <w:bottom w:val="outset" w:color="auto" w:sz="6" w:space="0"/>
              <w:right w:val="outset" w:color="auto" w:sz="6" w:space="0"/>
            </w:tcBorders>
          </w:tcPr>
          <w:p w14:paraId="6C7B6C68">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235,0</w:t>
            </w:r>
          </w:p>
        </w:tc>
        <w:tc>
          <w:tcPr>
            <w:tcW w:w="1104" w:type="dxa"/>
            <w:tcBorders>
              <w:top w:val="nil"/>
              <w:left w:val="outset" w:color="auto" w:sz="6" w:space="0"/>
              <w:bottom w:val="outset" w:color="auto" w:sz="6" w:space="0"/>
              <w:right w:val="outset" w:color="auto" w:sz="6" w:space="0"/>
            </w:tcBorders>
          </w:tcPr>
          <w:p w14:paraId="55FAC1F3">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185,0–271,0</w:t>
            </w:r>
          </w:p>
        </w:tc>
        <w:tc>
          <w:tcPr>
            <w:tcW w:w="513" w:type="dxa"/>
            <w:tcBorders>
              <w:top w:val="nil"/>
              <w:left w:val="outset" w:color="auto" w:sz="6" w:space="0"/>
              <w:bottom w:val="outset" w:color="auto" w:sz="6" w:space="0"/>
              <w:right w:val="outset" w:color="auto" w:sz="6" w:space="0"/>
            </w:tcBorders>
          </w:tcPr>
          <w:p w14:paraId="0FEF5DF9">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252,0</w:t>
            </w:r>
          </w:p>
        </w:tc>
        <w:tc>
          <w:tcPr>
            <w:tcW w:w="1104" w:type="dxa"/>
            <w:tcBorders>
              <w:top w:val="nil"/>
              <w:left w:val="outset" w:color="auto" w:sz="6" w:space="0"/>
              <w:bottom w:val="outset" w:color="auto" w:sz="6" w:space="0"/>
              <w:right w:val="outset" w:color="auto" w:sz="6" w:space="0"/>
            </w:tcBorders>
          </w:tcPr>
          <w:p w14:paraId="6CF4D300">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225,0–330,0</w:t>
            </w:r>
          </w:p>
        </w:tc>
        <w:tc>
          <w:tcPr>
            <w:tcW w:w="513" w:type="dxa"/>
            <w:tcBorders>
              <w:top w:val="nil"/>
              <w:left w:val="outset" w:color="auto" w:sz="6" w:space="0"/>
              <w:bottom w:val="outset" w:color="auto" w:sz="6" w:space="0"/>
              <w:right w:val="outset" w:color="auto" w:sz="6" w:space="0"/>
            </w:tcBorders>
          </w:tcPr>
          <w:p w14:paraId="074F9406">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227,0</w:t>
            </w:r>
          </w:p>
        </w:tc>
        <w:tc>
          <w:tcPr>
            <w:tcW w:w="1104" w:type="dxa"/>
            <w:tcBorders>
              <w:top w:val="nil"/>
              <w:left w:val="outset" w:color="auto" w:sz="6" w:space="0"/>
              <w:bottom w:val="outset" w:color="auto" w:sz="6" w:space="0"/>
              <w:right w:val="outset" w:color="auto" w:sz="6" w:space="0"/>
            </w:tcBorders>
          </w:tcPr>
          <w:p w14:paraId="12EE68BF">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201,0–292,0</w:t>
            </w:r>
          </w:p>
        </w:tc>
        <w:tc>
          <w:tcPr>
            <w:tcW w:w="513" w:type="dxa"/>
            <w:tcBorders>
              <w:top w:val="nil"/>
              <w:left w:val="outset" w:color="auto" w:sz="6" w:space="0"/>
              <w:bottom w:val="outset" w:color="auto" w:sz="6" w:space="0"/>
              <w:right w:val="outset" w:color="auto" w:sz="6" w:space="0"/>
            </w:tcBorders>
          </w:tcPr>
          <w:p w14:paraId="5F353490">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262,0</w:t>
            </w:r>
          </w:p>
        </w:tc>
        <w:tc>
          <w:tcPr>
            <w:tcW w:w="1105" w:type="dxa"/>
            <w:tcBorders>
              <w:top w:val="nil"/>
              <w:left w:val="outset" w:color="auto" w:sz="6" w:space="0"/>
              <w:bottom w:val="outset" w:color="auto" w:sz="6" w:space="0"/>
              <w:right w:val="outset" w:color="auto" w:sz="6" w:space="0"/>
            </w:tcBorders>
          </w:tcPr>
          <w:p w14:paraId="172E559A">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250,0–282,0</w:t>
            </w:r>
          </w:p>
        </w:tc>
        <w:tc>
          <w:tcPr>
            <w:tcW w:w="1512" w:type="dxa"/>
            <w:tcBorders>
              <w:top w:val="nil"/>
              <w:left w:val="outset" w:color="auto" w:sz="6" w:space="0"/>
              <w:bottom w:val="outset" w:color="auto" w:sz="6" w:space="0"/>
              <w:right w:val="single" w:color="auto" w:sz="4" w:space="0"/>
            </w:tcBorders>
          </w:tcPr>
          <w:p w14:paraId="6796ADE4">
            <w:pPr>
              <w:spacing w:after="0" w:line="276" w:lineRule="auto"/>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rPr>
              <w:t>0,184</w:t>
            </w:r>
          </w:p>
        </w:tc>
      </w:tr>
      <w:tr w14:paraId="2DC9037F">
        <w:tblPrEx>
          <w:tblCellMar>
            <w:top w:w="15" w:type="dxa"/>
            <w:left w:w="15" w:type="dxa"/>
            <w:bottom w:w="15" w:type="dxa"/>
            <w:right w:w="15" w:type="dxa"/>
          </w:tblCellMar>
        </w:tblPrEx>
        <w:tc>
          <w:tcPr>
            <w:tcW w:w="1404" w:type="dxa"/>
            <w:tcBorders>
              <w:top w:val="nil"/>
              <w:left w:val="outset" w:color="auto" w:sz="6" w:space="0"/>
              <w:bottom w:val="outset" w:color="auto" w:sz="6" w:space="0"/>
              <w:right w:val="outset" w:color="auto" w:sz="6" w:space="0"/>
            </w:tcBorders>
          </w:tcPr>
          <w:p w14:paraId="1C1EB7B1">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Лимфоциттер</w:t>
            </w:r>
          </w:p>
        </w:tc>
        <w:tc>
          <w:tcPr>
            <w:tcW w:w="513" w:type="dxa"/>
            <w:tcBorders>
              <w:top w:val="nil"/>
              <w:left w:val="outset" w:color="auto" w:sz="6" w:space="0"/>
              <w:bottom w:val="outset" w:color="auto" w:sz="6" w:space="0"/>
              <w:right w:val="outset" w:color="auto" w:sz="6" w:space="0"/>
            </w:tcBorders>
          </w:tcPr>
          <w:p w14:paraId="6179C482">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20,0</w:t>
            </w:r>
          </w:p>
        </w:tc>
        <w:tc>
          <w:tcPr>
            <w:tcW w:w="1104" w:type="dxa"/>
            <w:tcBorders>
              <w:top w:val="nil"/>
              <w:left w:val="outset" w:color="auto" w:sz="6" w:space="0"/>
              <w:bottom w:val="outset" w:color="auto" w:sz="6" w:space="0"/>
              <w:right w:val="outset" w:color="auto" w:sz="6" w:space="0"/>
            </w:tcBorders>
          </w:tcPr>
          <w:p w14:paraId="1774ACCF">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14,0–24,0</w:t>
            </w:r>
          </w:p>
        </w:tc>
        <w:tc>
          <w:tcPr>
            <w:tcW w:w="513" w:type="dxa"/>
            <w:tcBorders>
              <w:top w:val="nil"/>
              <w:left w:val="outset" w:color="auto" w:sz="6" w:space="0"/>
              <w:bottom w:val="outset" w:color="auto" w:sz="6" w:space="0"/>
              <w:right w:val="outset" w:color="auto" w:sz="6" w:space="0"/>
            </w:tcBorders>
          </w:tcPr>
          <w:p w14:paraId="72164528">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21,5</w:t>
            </w:r>
          </w:p>
        </w:tc>
        <w:tc>
          <w:tcPr>
            <w:tcW w:w="1104" w:type="dxa"/>
            <w:tcBorders>
              <w:top w:val="nil"/>
              <w:left w:val="outset" w:color="auto" w:sz="6" w:space="0"/>
              <w:bottom w:val="outset" w:color="auto" w:sz="6" w:space="0"/>
              <w:right w:val="outset" w:color="auto" w:sz="6" w:space="0"/>
            </w:tcBorders>
          </w:tcPr>
          <w:p w14:paraId="5B680611">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16,0–29,0</w:t>
            </w:r>
          </w:p>
        </w:tc>
        <w:tc>
          <w:tcPr>
            <w:tcW w:w="513" w:type="dxa"/>
            <w:tcBorders>
              <w:top w:val="nil"/>
              <w:left w:val="outset" w:color="auto" w:sz="6" w:space="0"/>
              <w:bottom w:val="outset" w:color="auto" w:sz="6" w:space="0"/>
              <w:right w:val="outset" w:color="auto" w:sz="6" w:space="0"/>
            </w:tcBorders>
          </w:tcPr>
          <w:p w14:paraId="40BDA1CD">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17,0</w:t>
            </w:r>
          </w:p>
        </w:tc>
        <w:tc>
          <w:tcPr>
            <w:tcW w:w="1104" w:type="dxa"/>
            <w:tcBorders>
              <w:top w:val="nil"/>
              <w:left w:val="outset" w:color="auto" w:sz="6" w:space="0"/>
              <w:bottom w:val="outset" w:color="auto" w:sz="6" w:space="0"/>
              <w:right w:val="outset" w:color="auto" w:sz="6" w:space="0"/>
            </w:tcBorders>
          </w:tcPr>
          <w:p w14:paraId="45F51754">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15,0–22,0</w:t>
            </w:r>
          </w:p>
        </w:tc>
        <w:tc>
          <w:tcPr>
            <w:tcW w:w="513" w:type="dxa"/>
            <w:tcBorders>
              <w:top w:val="nil"/>
              <w:left w:val="outset" w:color="auto" w:sz="6" w:space="0"/>
              <w:bottom w:val="outset" w:color="auto" w:sz="6" w:space="0"/>
              <w:right w:val="outset" w:color="auto" w:sz="6" w:space="0"/>
            </w:tcBorders>
          </w:tcPr>
          <w:p w14:paraId="668CD3E5">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15,0</w:t>
            </w:r>
          </w:p>
        </w:tc>
        <w:tc>
          <w:tcPr>
            <w:tcW w:w="1105" w:type="dxa"/>
            <w:tcBorders>
              <w:top w:val="nil"/>
              <w:left w:val="outset" w:color="auto" w:sz="6" w:space="0"/>
              <w:bottom w:val="outset" w:color="auto" w:sz="6" w:space="0"/>
              <w:right w:val="outset" w:color="auto" w:sz="6" w:space="0"/>
            </w:tcBorders>
          </w:tcPr>
          <w:p w14:paraId="43A9E4FD">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10,0–19,0</w:t>
            </w:r>
          </w:p>
        </w:tc>
        <w:tc>
          <w:tcPr>
            <w:tcW w:w="1512" w:type="dxa"/>
            <w:tcBorders>
              <w:top w:val="nil"/>
              <w:left w:val="outset" w:color="auto" w:sz="6" w:space="0"/>
              <w:bottom w:val="outset" w:color="auto" w:sz="6" w:space="0"/>
              <w:right w:val="single" w:color="auto" w:sz="4" w:space="0"/>
            </w:tcBorders>
          </w:tcPr>
          <w:p w14:paraId="67C28DDB">
            <w:pPr>
              <w:spacing w:after="0" w:line="276" w:lineRule="auto"/>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b/>
                <w:sz w:val="28"/>
                <w:szCs w:val="28"/>
              </w:rPr>
              <w:t>0,003</w:t>
            </w:r>
            <w:r>
              <w:rPr>
                <w:rFonts w:ascii="Times New Roman" w:hAnsi="Times New Roman" w:eastAsia="Times New Roman" w:cs="Times New Roman"/>
                <w:b/>
                <w:i/>
                <w:sz w:val="28"/>
                <w:szCs w:val="28"/>
              </w:rPr>
              <w:t>*</w:t>
            </w:r>
          </w:p>
        </w:tc>
      </w:tr>
      <w:tr w14:paraId="764E7AA0">
        <w:tblPrEx>
          <w:tblCellMar>
            <w:top w:w="15" w:type="dxa"/>
            <w:left w:w="15" w:type="dxa"/>
            <w:bottom w:w="15" w:type="dxa"/>
            <w:right w:w="15" w:type="dxa"/>
          </w:tblCellMar>
        </w:tblPrEx>
        <w:tc>
          <w:tcPr>
            <w:tcW w:w="1404" w:type="dxa"/>
            <w:tcBorders>
              <w:top w:val="nil"/>
              <w:left w:val="outset" w:color="auto" w:sz="6" w:space="0"/>
              <w:bottom w:val="outset" w:color="auto" w:sz="6" w:space="0"/>
              <w:right w:val="outset" w:color="auto" w:sz="6" w:space="0"/>
            </w:tcBorders>
          </w:tcPr>
          <w:p w14:paraId="1397D90F">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Моноциттер</w:t>
            </w:r>
          </w:p>
        </w:tc>
        <w:tc>
          <w:tcPr>
            <w:tcW w:w="513" w:type="dxa"/>
            <w:tcBorders>
              <w:top w:val="nil"/>
              <w:left w:val="outset" w:color="auto" w:sz="6" w:space="0"/>
              <w:bottom w:val="outset" w:color="auto" w:sz="6" w:space="0"/>
              <w:right w:val="outset" w:color="auto" w:sz="6" w:space="0"/>
            </w:tcBorders>
          </w:tcPr>
          <w:p w14:paraId="436ED796">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4,0</w:t>
            </w:r>
          </w:p>
        </w:tc>
        <w:tc>
          <w:tcPr>
            <w:tcW w:w="1104" w:type="dxa"/>
            <w:tcBorders>
              <w:top w:val="nil"/>
              <w:left w:val="outset" w:color="auto" w:sz="6" w:space="0"/>
              <w:bottom w:val="outset" w:color="auto" w:sz="6" w:space="0"/>
              <w:right w:val="outset" w:color="auto" w:sz="6" w:space="0"/>
            </w:tcBorders>
          </w:tcPr>
          <w:p w14:paraId="0E5165BE">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3,0–4,0</w:t>
            </w:r>
          </w:p>
        </w:tc>
        <w:tc>
          <w:tcPr>
            <w:tcW w:w="513" w:type="dxa"/>
            <w:tcBorders>
              <w:top w:val="nil"/>
              <w:left w:val="outset" w:color="auto" w:sz="6" w:space="0"/>
              <w:bottom w:val="outset" w:color="auto" w:sz="6" w:space="0"/>
              <w:right w:val="outset" w:color="auto" w:sz="6" w:space="0"/>
            </w:tcBorders>
          </w:tcPr>
          <w:p w14:paraId="63B8F21A">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4,0</w:t>
            </w:r>
          </w:p>
        </w:tc>
        <w:tc>
          <w:tcPr>
            <w:tcW w:w="1104" w:type="dxa"/>
            <w:tcBorders>
              <w:top w:val="nil"/>
              <w:left w:val="outset" w:color="auto" w:sz="6" w:space="0"/>
              <w:bottom w:val="outset" w:color="auto" w:sz="6" w:space="0"/>
              <w:right w:val="outset" w:color="auto" w:sz="6" w:space="0"/>
            </w:tcBorders>
          </w:tcPr>
          <w:p w14:paraId="492CC59B">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3,0–4,0</w:t>
            </w:r>
          </w:p>
        </w:tc>
        <w:tc>
          <w:tcPr>
            <w:tcW w:w="513" w:type="dxa"/>
            <w:tcBorders>
              <w:top w:val="nil"/>
              <w:left w:val="outset" w:color="auto" w:sz="6" w:space="0"/>
              <w:bottom w:val="outset" w:color="auto" w:sz="6" w:space="0"/>
              <w:right w:val="outset" w:color="auto" w:sz="6" w:space="0"/>
            </w:tcBorders>
          </w:tcPr>
          <w:p w14:paraId="55A5B64E">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4,0</w:t>
            </w:r>
          </w:p>
        </w:tc>
        <w:tc>
          <w:tcPr>
            <w:tcW w:w="1104" w:type="dxa"/>
            <w:tcBorders>
              <w:top w:val="nil"/>
              <w:left w:val="outset" w:color="auto" w:sz="6" w:space="0"/>
              <w:bottom w:val="outset" w:color="auto" w:sz="6" w:space="0"/>
              <w:right w:val="outset" w:color="auto" w:sz="6" w:space="0"/>
            </w:tcBorders>
          </w:tcPr>
          <w:p w14:paraId="514FB6DC">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3,0–5,0</w:t>
            </w:r>
          </w:p>
        </w:tc>
        <w:tc>
          <w:tcPr>
            <w:tcW w:w="513" w:type="dxa"/>
            <w:tcBorders>
              <w:top w:val="nil"/>
              <w:left w:val="outset" w:color="auto" w:sz="6" w:space="0"/>
              <w:bottom w:val="outset" w:color="auto" w:sz="6" w:space="0"/>
              <w:right w:val="outset" w:color="auto" w:sz="6" w:space="0"/>
            </w:tcBorders>
          </w:tcPr>
          <w:p w14:paraId="7A26FEAB">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4,0</w:t>
            </w:r>
          </w:p>
        </w:tc>
        <w:tc>
          <w:tcPr>
            <w:tcW w:w="1105" w:type="dxa"/>
            <w:tcBorders>
              <w:top w:val="nil"/>
              <w:left w:val="outset" w:color="auto" w:sz="6" w:space="0"/>
              <w:bottom w:val="outset" w:color="auto" w:sz="6" w:space="0"/>
              <w:right w:val="outset" w:color="auto" w:sz="6" w:space="0"/>
            </w:tcBorders>
          </w:tcPr>
          <w:p w14:paraId="4504E3C7">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3,0–5,00</w:t>
            </w:r>
          </w:p>
        </w:tc>
        <w:tc>
          <w:tcPr>
            <w:tcW w:w="1512" w:type="dxa"/>
            <w:tcBorders>
              <w:top w:val="nil"/>
              <w:left w:val="outset" w:color="auto" w:sz="6" w:space="0"/>
              <w:bottom w:val="outset" w:color="auto" w:sz="6" w:space="0"/>
              <w:right w:val="single" w:color="auto" w:sz="4" w:space="0"/>
            </w:tcBorders>
          </w:tcPr>
          <w:p w14:paraId="67A3144B">
            <w:pPr>
              <w:spacing w:after="0" w:line="276" w:lineRule="auto"/>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rPr>
              <w:t>0,942</w:t>
            </w:r>
          </w:p>
        </w:tc>
      </w:tr>
      <w:tr w14:paraId="33A7ADC4">
        <w:tblPrEx>
          <w:tblCellMar>
            <w:top w:w="15" w:type="dxa"/>
            <w:left w:w="15" w:type="dxa"/>
            <w:bottom w:w="15" w:type="dxa"/>
            <w:right w:w="15" w:type="dxa"/>
          </w:tblCellMar>
        </w:tblPrEx>
        <w:tc>
          <w:tcPr>
            <w:tcW w:w="1404" w:type="dxa"/>
            <w:tcBorders>
              <w:top w:val="nil"/>
              <w:left w:val="outset" w:color="auto" w:sz="6" w:space="0"/>
              <w:bottom w:val="outset" w:color="auto" w:sz="6" w:space="0"/>
              <w:right w:val="outset" w:color="auto" w:sz="6" w:space="0"/>
            </w:tcBorders>
            <w:vAlign w:val="center"/>
          </w:tcPr>
          <w:p w14:paraId="3BC35638">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Таяқша ядролық нейтрофилдер</w:t>
            </w:r>
          </w:p>
        </w:tc>
        <w:tc>
          <w:tcPr>
            <w:tcW w:w="513" w:type="dxa"/>
            <w:tcBorders>
              <w:top w:val="nil"/>
              <w:left w:val="outset" w:color="auto" w:sz="6" w:space="0"/>
              <w:bottom w:val="outset" w:color="auto" w:sz="6" w:space="0"/>
              <w:right w:val="outset" w:color="auto" w:sz="6" w:space="0"/>
            </w:tcBorders>
          </w:tcPr>
          <w:p w14:paraId="4FCF7331">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2,0</w:t>
            </w:r>
          </w:p>
        </w:tc>
        <w:tc>
          <w:tcPr>
            <w:tcW w:w="1104" w:type="dxa"/>
            <w:tcBorders>
              <w:top w:val="nil"/>
              <w:left w:val="outset" w:color="auto" w:sz="6" w:space="0"/>
              <w:bottom w:val="outset" w:color="auto" w:sz="6" w:space="0"/>
              <w:right w:val="outset" w:color="auto" w:sz="6" w:space="0"/>
            </w:tcBorders>
          </w:tcPr>
          <w:p w14:paraId="6482F843">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2,0–3,0</w:t>
            </w:r>
          </w:p>
        </w:tc>
        <w:tc>
          <w:tcPr>
            <w:tcW w:w="513" w:type="dxa"/>
            <w:tcBorders>
              <w:top w:val="nil"/>
              <w:left w:val="outset" w:color="auto" w:sz="6" w:space="0"/>
              <w:bottom w:val="outset" w:color="auto" w:sz="6" w:space="0"/>
              <w:right w:val="outset" w:color="auto" w:sz="6" w:space="0"/>
            </w:tcBorders>
          </w:tcPr>
          <w:p w14:paraId="0F7B1DE6">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2,0</w:t>
            </w:r>
          </w:p>
        </w:tc>
        <w:tc>
          <w:tcPr>
            <w:tcW w:w="1104" w:type="dxa"/>
            <w:tcBorders>
              <w:top w:val="nil"/>
              <w:left w:val="outset" w:color="auto" w:sz="6" w:space="0"/>
              <w:bottom w:val="outset" w:color="auto" w:sz="6" w:space="0"/>
              <w:right w:val="outset" w:color="auto" w:sz="6" w:space="0"/>
            </w:tcBorders>
          </w:tcPr>
          <w:p w14:paraId="0136C831">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1,0–4,0</w:t>
            </w:r>
          </w:p>
        </w:tc>
        <w:tc>
          <w:tcPr>
            <w:tcW w:w="513" w:type="dxa"/>
            <w:tcBorders>
              <w:top w:val="nil"/>
              <w:left w:val="outset" w:color="auto" w:sz="6" w:space="0"/>
              <w:bottom w:val="outset" w:color="auto" w:sz="6" w:space="0"/>
              <w:right w:val="outset" w:color="auto" w:sz="6" w:space="0"/>
            </w:tcBorders>
          </w:tcPr>
          <w:p w14:paraId="2DAAA5CA">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7,0</w:t>
            </w:r>
          </w:p>
        </w:tc>
        <w:tc>
          <w:tcPr>
            <w:tcW w:w="1104" w:type="dxa"/>
            <w:tcBorders>
              <w:top w:val="nil"/>
              <w:left w:val="outset" w:color="auto" w:sz="6" w:space="0"/>
              <w:bottom w:val="outset" w:color="auto" w:sz="6" w:space="0"/>
              <w:right w:val="outset" w:color="auto" w:sz="6" w:space="0"/>
            </w:tcBorders>
          </w:tcPr>
          <w:p w14:paraId="06A713C0">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4,0–8,0</w:t>
            </w:r>
          </w:p>
        </w:tc>
        <w:tc>
          <w:tcPr>
            <w:tcW w:w="513" w:type="dxa"/>
            <w:tcBorders>
              <w:top w:val="nil"/>
              <w:left w:val="outset" w:color="auto" w:sz="6" w:space="0"/>
              <w:bottom w:val="outset" w:color="auto" w:sz="6" w:space="0"/>
              <w:right w:val="outset" w:color="auto" w:sz="6" w:space="0"/>
            </w:tcBorders>
          </w:tcPr>
          <w:p w14:paraId="52AD51CD">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7,0</w:t>
            </w:r>
          </w:p>
        </w:tc>
        <w:tc>
          <w:tcPr>
            <w:tcW w:w="1105" w:type="dxa"/>
            <w:tcBorders>
              <w:top w:val="nil"/>
              <w:left w:val="outset" w:color="auto" w:sz="6" w:space="0"/>
              <w:bottom w:val="outset" w:color="auto" w:sz="6" w:space="0"/>
              <w:right w:val="outset" w:color="auto" w:sz="6" w:space="0"/>
            </w:tcBorders>
          </w:tcPr>
          <w:p w14:paraId="5E280BA3">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6,0–9,00</w:t>
            </w:r>
          </w:p>
        </w:tc>
        <w:tc>
          <w:tcPr>
            <w:tcW w:w="1512" w:type="dxa"/>
            <w:tcBorders>
              <w:top w:val="nil"/>
              <w:left w:val="outset" w:color="auto" w:sz="6" w:space="0"/>
              <w:bottom w:val="outset" w:color="auto" w:sz="6" w:space="0"/>
              <w:right w:val="single" w:color="auto" w:sz="4" w:space="0"/>
            </w:tcBorders>
          </w:tcPr>
          <w:p w14:paraId="41534C6C">
            <w:pPr>
              <w:spacing w:after="0" w:line="276" w:lineRule="auto"/>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b/>
                <w:sz w:val="28"/>
                <w:szCs w:val="28"/>
              </w:rPr>
              <w:t>0,000</w:t>
            </w:r>
            <w:r>
              <w:rPr>
                <w:rFonts w:ascii="Times New Roman" w:hAnsi="Times New Roman" w:eastAsia="Times New Roman" w:cs="Times New Roman"/>
                <w:b/>
                <w:i/>
                <w:sz w:val="28"/>
                <w:szCs w:val="28"/>
              </w:rPr>
              <w:t>*</w:t>
            </w:r>
          </w:p>
        </w:tc>
      </w:tr>
      <w:tr w14:paraId="5E351FC7">
        <w:tblPrEx>
          <w:tblCellMar>
            <w:top w:w="15" w:type="dxa"/>
            <w:left w:w="15" w:type="dxa"/>
            <w:bottom w:w="15" w:type="dxa"/>
            <w:right w:w="15" w:type="dxa"/>
          </w:tblCellMar>
        </w:tblPrEx>
        <w:tc>
          <w:tcPr>
            <w:tcW w:w="1404" w:type="dxa"/>
            <w:tcBorders>
              <w:top w:val="nil"/>
              <w:left w:val="outset" w:color="auto" w:sz="6" w:space="0"/>
              <w:bottom w:val="outset" w:color="auto" w:sz="6" w:space="0"/>
              <w:right w:val="outset" w:color="auto" w:sz="6" w:space="0"/>
            </w:tcBorders>
          </w:tcPr>
          <w:p w14:paraId="42C20C93">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Сегментті ядролық</w:t>
            </w:r>
          </w:p>
          <w:p w14:paraId="29692B1C">
            <w:pPr>
              <w:widowControl w:val="0"/>
              <w:autoSpaceDE w:val="0"/>
              <w:autoSpaceDN w:val="0"/>
              <w:spacing w:after="0" w:line="276" w:lineRule="auto"/>
              <w:jc w:val="both"/>
              <w:outlineLvl w:val="0"/>
              <w:rPr>
                <w:rFonts w:ascii="Times New Roman" w:hAnsi="Times New Roman" w:eastAsia="Times New Roman" w:cs="Times New Roman"/>
                <w:sz w:val="28"/>
                <w:szCs w:val="28"/>
              </w:rPr>
            </w:pPr>
          </w:p>
        </w:tc>
        <w:tc>
          <w:tcPr>
            <w:tcW w:w="513" w:type="dxa"/>
            <w:tcBorders>
              <w:top w:val="nil"/>
              <w:left w:val="outset" w:color="auto" w:sz="6" w:space="0"/>
              <w:bottom w:val="outset" w:color="auto" w:sz="6" w:space="0"/>
              <w:right w:val="outset" w:color="auto" w:sz="6" w:space="0"/>
            </w:tcBorders>
          </w:tcPr>
          <w:p w14:paraId="42A7A47E">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71,0</w:t>
            </w:r>
          </w:p>
        </w:tc>
        <w:tc>
          <w:tcPr>
            <w:tcW w:w="1104" w:type="dxa"/>
            <w:tcBorders>
              <w:top w:val="nil"/>
              <w:left w:val="outset" w:color="auto" w:sz="6" w:space="0"/>
              <w:bottom w:val="outset" w:color="auto" w:sz="6" w:space="0"/>
              <w:right w:val="outset" w:color="auto" w:sz="6" w:space="0"/>
            </w:tcBorders>
          </w:tcPr>
          <w:p w14:paraId="345E4F04">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68,0–76,0</w:t>
            </w:r>
          </w:p>
        </w:tc>
        <w:tc>
          <w:tcPr>
            <w:tcW w:w="513" w:type="dxa"/>
            <w:tcBorders>
              <w:top w:val="nil"/>
              <w:left w:val="outset" w:color="auto" w:sz="6" w:space="0"/>
              <w:bottom w:val="outset" w:color="auto" w:sz="6" w:space="0"/>
              <w:right w:val="outset" w:color="auto" w:sz="6" w:space="0"/>
            </w:tcBorders>
          </w:tcPr>
          <w:p w14:paraId="210A0CBE">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71,0</w:t>
            </w:r>
          </w:p>
        </w:tc>
        <w:tc>
          <w:tcPr>
            <w:tcW w:w="1104" w:type="dxa"/>
            <w:tcBorders>
              <w:top w:val="nil"/>
              <w:left w:val="outset" w:color="auto" w:sz="6" w:space="0"/>
              <w:bottom w:val="outset" w:color="auto" w:sz="6" w:space="0"/>
              <w:right w:val="outset" w:color="auto" w:sz="6" w:space="0"/>
            </w:tcBorders>
          </w:tcPr>
          <w:p w14:paraId="1997A905">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65,0–74,0</w:t>
            </w:r>
          </w:p>
        </w:tc>
        <w:tc>
          <w:tcPr>
            <w:tcW w:w="513" w:type="dxa"/>
            <w:tcBorders>
              <w:top w:val="nil"/>
              <w:left w:val="outset" w:color="auto" w:sz="6" w:space="0"/>
              <w:bottom w:val="outset" w:color="auto" w:sz="6" w:space="0"/>
              <w:right w:val="outset" w:color="auto" w:sz="6" w:space="0"/>
            </w:tcBorders>
          </w:tcPr>
          <w:p w14:paraId="6A3BF00B">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70,0</w:t>
            </w:r>
          </w:p>
        </w:tc>
        <w:tc>
          <w:tcPr>
            <w:tcW w:w="1104" w:type="dxa"/>
            <w:tcBorders>
              <w:top w:val="nil"/>
              <w:left w:val="outset" w:color="auto" w:sz="6" w:space="0"/>
              <w:bottom w:val="outset" w:color="auto" w:sz="6" w:space="0"/>
              <w:right w:val="outset" w:color="auto" w:sz="6" w:space="0"/>
            </w:tcBorders>
          </w:tcPr>
          <w:p w14:paraId="1874BDED">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64,0–72,0</w:t>
            </w:r>
          </w:p>
        </w:tc>
        <w:tc>
          <w:tcPr>
            <w:tcW w:w="513" w:type="dxa"/>
            <w:tcBorders>
              <w:top w:val="nil"/>
              <w:left w:val="outset" w:color="auto" w:sz="6" w:space="0"/>
              <w:bottom w:val="outset" w:color="auto" w:sz="6" w:space="0"/>
              <w:right w:val="outset" w:color="auto" w:sz="6" w:space="0"/>
            </w:tcBorders>
          </w:tcPr>
          <w:p w14:paraId="51A6DE1A">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72,0</w:t>
            </w:r>
          </w:p>
        </w:tc>
        <w:tc>
          <w:tcPr>
            <w:tcW w:w="1105" w:type="dxa"/>
            <w:tcBorders>
              <w:top w:val="nil"/>
              <w:left w:val="outset" w:color="auto" w:sz="6" w:space="0"/>
              <w:bottom w:val="outset" w:color="auto" w:sz="6" w:space="0"/>
              <w:right w:val="outset" w:color="auto" w:sz="6" w:space="0"/>
            </w:tcBorders>
          </w:tcPr>
          <w:p w14:paraId="09A35D58">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69,0–74,00</w:t>
            </w:r>
          </w:p>
        </w:tc>
        <w:tc>
          <w:tcPr>
            <w:tcW w:w="1512" w:type="dxa"/>
            <w:tcBorders>
              <w:top w:val="nil"/>
              <w:left w:val="outset" w:color="auto" w:sz="6" w:space="0"/>
              <w:bottom w:val="outset" w:color="auto" w:sz="6" w:space="0"/>
              <w:right w:val="single" w:color="auto" w:sz="4" w:space="0"/>
            </w:tcBorders>
          </w:tcPr>
          <w:p w14:paraId="5B40C0E6">
            <w:pPr>
              <w:spacing w:after="0" w:line="276" w:lineRule="auto"/>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rPr>
              <w:t>0,404</w:t>
            </w:r>
          </w:p>
        </w:tc>
      </w:tr>
      <w:tr w14:paraId="38C18E54">
        <w:tblPrEx>
          <w:tblCellMar>
            <w:top w:w="15" w:type="dxa"/>
            <w:left w:w="15" w:type="dxa"/>
            <w:bottom w:w="15" w:type="dxa"/>
            <w:right w:w="15" w:type="dxa"/>
          </w:tblCellMar>
        </w:tblPrEx>
        <w:tc>
          <w:tcPr>
            <w:tcW w:w="1404" w:type="dxa"/>
            <w:tcBorders>
              <w:top w:val="nil"/>
              <w:left w:val="outset" w:color="auto" w:sz="6" w:space="0"/>
              <w:bottom w:val="outset" w:color="auto" w:sz="6" w:space="0"/>
              <w:right w:val="outset" w:color="auto" w:sz="6" w:space="0"/>
            </w:tcBorders>
          </w:tcPr>
          <w:p w14:paraId="37110889">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Эозинофилдер</w:t>
            </w:r>
          </w:p>
        </w:tc>
        <w:tc>
          <w:tcPr>
            <w:tcW w:w="513" w:type="dxa"/>
            <w:tcBorders>
              <w:top w:val="nil"/>
              <w:left w:val="outset" w:color="auto" w:sz="6" w:space="0"/>
              <w:bottom w:val="outset" w:color="auto" w:sz="6" w:space="0"/>
              <w:right w:val="outset" w:color="auto" w:sz="6" w:space="0"/>
            </w:tcBorders>
          </w:tcPr>
          <w:p w14:paraId="2381312F">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2,0</w:t>
            </w:r>
          </w:p>
        </w:tc>
        <w:tc>
          <w:tcPr>
            <w:tcW w:w="1104" w:type="dxa"/>
            <w:tcBorders>
              <w:top w:val="nil"/>
              <w:left w:val="outset" w:color="auto" w:sz="6" w:space="0"/>
              <w:bottom w:val="outset" w:color="auto" w:sz="6" w:space="0"/>
              <w:right w:val="outset" w:color="auto" w:sz="6" w:space="0"/>
            </w:tcBorders>
          </w:tcPr>
          <w:p w14:paraId="2E48A181">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2,0–3,0</w:t>
            </w:r>
          </w:p>
        </w:tc>
        <w:tc>
          <w:tcPr>
            <w:tcW w:w="513" w:type="dxa"/>
            <w:tcBorders>
              <w:top w:val="nil"/>
              <w:left w:val="outset" w:color="auto" w:sz="6" w:space="0"/>
              <w:bottom w:val="outset" w:color="auto" w:sz="6" w:space="0"/>
              <w:right w:val="outset" w:color="auto" w:sz="6" w:space="0"/>
            </w:tcBorders>
          </w:tcPr>
          <w:p w14:paraId="3368AC01">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2,0</w:t>
            </w:r>
          </w:p>
        </w:tc>
        <w:tc>
          <w:tcPr>
            <w:tcW w:w="1104" w:type="dxa"/>
            <w:tcBorders>
              <w:top w:val="nil"/>
              <w:left w:val="outset" w:color="auto" w:sz="6" w:space="0"/>
              <w:bottom w:val="outset" w:color="auto" w:sz="6" w:space="0"/>
              <w:right w:val="outset" w:color="auto" w:sz="6" w:space="0"/>
            </w:tcBorders>
          </w:tcPr>
          <w:p w14:paraId="519B698B">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1,0–3,0</w:t>
            </w:r>
          </w:p>
        </w:tc>
        <w:tc>
          <w:tcPr>
            <w:tcW w:w="513" w:type="dxa"/>
            <w:tcBorders>
              <w:top w:val="nil"/>
              <w:left w:val="outset" w:color="auto" w:sz="6" w:space="0"/>
              <w:bottom w:val="outset" w:color="auto" w:sz="6" w:space="0"/>
              <w:right w:val="outset" w:color="auto" w:sz="6" w:space="0"/>
            </w:tcBorders>
          </w:tcPr>
          <w:p w14:paraId="522CE8C4">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3,0</w:t>
            </w:r>
          </w:p>
        </w:tc>
        <w:tc>
          <w:tcPr>
            <w:tcW w:w="1104" w:type="dxa"/>
            <w:tcBorders>
              <w:top w:val="nil"/>
              <w:left w:val="outset" w:color="auto" w:sz="6" w:space="0"/>
              <w:bottom w:val="outset" w:color="auto" w:sz="6" w:space="0"/>
              <w:right w:val="outset" w:color="auto" w:sz="6" w:space="0"/>
            </w:tcBorders>
          </w:tcPr>
          <w:p w14:paraId="1FEA76EE">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2,0–4,0</w:t>
            </w:r>
          </w:p>
        </w:tc>
        <w:tc>
          <w:tcPr>
            <w:tcW w:w="513" w:type="dxa"/>
            <w:tcBorders>
              <w:top w:val="nil"/>
              <w:left w:val="outset" w:color="auto" w:sz="6" w:space="0"/>
              <w:bottom w:val="outset" w:color="auto" w:sz="6" w:space="0"/>
              <w:right w:val="outset" w:color="auto" w:sz="6" w:space="0"/>
            </w:tcBorders>
          </w:tcPr>
          <w:p w14:paraId="00E14622">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2,0</w:t>
            </w:r>
          </w:p>
        </w:tc>
        <w:tc>
          <w:tcPr>
            <w:tcW w:w="1105" w:type="dxa"/>
            <w:tcBorders>
              <w:top w:val="nil"/>
              <w:left w:val="outset" w:color="auto" w:sz="6" w:space="0"/>
              <w:bottom w:val="outset" w:color="auto" w:sz="6" w:space="0"/>
              <w:right w:val="outset" w:color="auto" w:sz="6" w:space="0"/>
            </w:tcBorders>
          </w:tcPr>
          <w:p w14:paraId="5D4C2645">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2,0–4,00</w:t>
            </w:r>
          </w:p>
        </w:tc>
        <w:tc>
          <w:tcPr>
            <w:tcW w:w="1512" w:type="dxa"/>
            <w:tcBorders>
              <w:top w:val="nil"/>
              <w:left w:val="outset" w:color="auto" w:sz="6" w:space="0"/>
              <w:bottom w:val="outset" w:color="auto" w:sz="6" w:space="0"/>
              <w:right w:val="single" w:color="auto" w:sz="4" w:space="0"/>
            </w:tcBorders>
          </w:tcPr>
          <w:p w14:paraId="4D650D71">
            <w:pPr>
              <w:spacing w:after="0" w:line="276" w:lineRule="auto"/>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b/>
                <w:sz w:val="28"/>
                <w:szCs w:val="28"/>
              </w:rPr>
              <w:t>0,013</w:t>
            </w:r>
            <w:r>
              <w:rPr>
                <w:rFonts w:ascii="Times New Roman" w:hAnsi="Times New Roman" w:eastAsia="Times New Roman" w:cs="Times New Roman"/>
                <w:b/>
                <w:i/>
                <w:sz w:val="28"/>
                <w:szCs w:val="28"/>
              </w:rPr>
              <w:t>*</w:t>
            </w:r>
          </w:p>
        </w:tc>
      </w:tr>
      <w:tr w14:paraId="216D86BE">
        <w:tblPrEx>
          <w:tblCellMar>
            <w:top w:w="15" w:type="dxa"/>
            <w:left w:w="15" w:type="dxa"/>
            <w:bottom w:w="15" w:type="dxa"/>
            <w:right w:w="15" w:type="dxa"/>
          </w:tblCellMar>
        </w:tblPrEx>
        <w:tc>
          <w:tcPr>
            <w:tcW w:w="9385" w:type="dxa"/>
            <w:gridSpan w:val="10"/>
            <w:tcBorders>
              <w:top w:val="nil"/>
              <w:left w:val="outset" w:color="auto" w:sz="6" w:space="0"/>
              <w:bottom w:val="outset" w:color="auto" w:sz="6" w:space="0"/>
              <w:right w:val="outset" w:color="auto" w:sz="6" w:space="0"/>
            </w:tcBorders>
          </w:tcPr>
          <w:p w14:paraId="747E0407">
            <w:pPr>
              <w:widowControl w:val="0"/>
              <w:autoSpaceDE w:val="0"/>
              <w:autoSpaceDN w:val="0"/>
              <w:spacing w:after="0" w:line="276" w:lineRule="auto"/>
              <w:jc w:val="both"/>
              <w:outlineLvl w:val="0"/>
              <w:rPr>
                <w:rFonts w:ascii="Times New Roman" w:hAnsi="Times New Roman" w:eastAsia="Times New Roman" w:cs="Times New Roman"/>
                <w:b/>
                <w:i/>
                <w:sz w:val="28"/>
                <w:szCs w:val="28"/>
              </w:rPr>
            </w:pPr>
            <w:r>
              <w:rPr>
                <w:rFonts w:ascii="Times New Roman" w:hAnsi="Times New Roman" w:eastAsia="Times New Roman" w:cs="Times New Roman"/>
                <w:i/>
                <w:sz w:val="28"/>
                <w:szCs w:val="28"/>
              </w:rPr>
              <w:t xml:space="preserve">*–Краскел–Уоллис критерийі бойынша айырмашылығы, көрсеткіштердің өзгеруінің растығы бойынша р&lt;0.05  </w:t>
            </w:r>
          </w:p>
        </w:tc>
      </w:tr>
    </w:tbl>
    <w:p w14:paraId="01D6E6CB">
      <w:pPr>
        <w:widowControl w:val="0"/>
        <w:autoSpaceDE w:val="0"/>
        <w:autoSpaceDN w:val="0"/>
        <w:spacing w:after="0" w:line="276" w:lineRule="auto"/>
        <w:ind w:firstLine="709"/>
        <w:jc w:val="both"/>
        <w:outlineLvl w:val="0"/>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 xml:space="preserve"> </w:t>
      </w:r>
    </w:p>
    <w:p w14:paraId="2C609CF7">
      <w:pPr>
        <w:widowControl w:val="0"/>
        <w:autoSpaceDE w:val="0"/>
        <w:autoSpaceDN w:val="0"/>
        <w:spacing w:after="0" w:line="276" w:lineRule="auto"/>
        <w:ind w:firstLine="709"/>
        <w:jc w:val="both"/>
        <w:outlineLvl w:val="0"/>
        <w:rPr>
          <w:rFonts w:ascii="Times New Roman" w:hAnsi="Times New Roman" w:eastAsia="Times New Roman" w:cs="Times New Roman"/>
          <w:color w:val="000000"/>
          <w:sz w:val="28"/>
          <w:szCs w:val="28"/>
          <w:lang w:eastAsia="ru-RU"/>
        </w:rPr>
      </w:pPr>
      <w:r>
        <w:rPr>
          <w:rFonts w:ascii="Times New Roman" w:hAnsi="Times New Roman" w:eastAsia="Times New Roman" w:cs="Times New Roman"/>
          <w:color w:val="000000"/>
          <w:sz w:val="28"/>
          <w:szCs w:val="28"/>
          <w:lang w:eastAsia="ru-RU"/>
        </w:rPr>
        <w:t xml:space="preserve">Семіздігі бар жүкті әйелдер тобында (3-топ) гемоглобин деңгейі қалыпты болғанымен, эритроциттер деңгейінің шамамен 5%-ға төмендеуі және лимфоциттердің төмендеуі қабыну және гипоксия механизмдері арқылы қан жасушаларына әсер етуі мүмкіндігін көрсетеді. Таяқша ядролы нейтрофилдердің жоғарылауы және ЭТЖ деңгейінің артуы қабыну процестерінің белсенділігін растайды. Бұл семіздік пен қабынудың өзара байланысын зерттеу қажеттілігін көрсетеді. </w:t>
      </w:r>
    </w:p>
    <w:p w14:paraId="11727173">
      <w:pPr>
        <w:widowControl w:val="0"/>
        <w:autoSpaceDE w:val="0"/>
        <w:autoSpaceDN w:val="0"/>
        <w:spacing w:after="0" w:line="276" w:lineRule="auto"/>
        <w:ind w:firstLine="709"/>
        <w:jc w:val="both"/>
        <w:outlineLvl w:val="0"/>
        <w:rPr>
          <w:rFonts w:ascii="Times New Roman" w:hAnsi="Times New Roman" w:eastAsia="Times New Roman" w:cs="Times New Roman"/>
          <w:bCs/>
          <w:sz w:val="28"/>
          <w:szCs w:val="28"/>
          <w:lang w:eastAsia="ru-RU"/>
        </w:rPr>
      </w:pPr>
      <w:r>
        <w:rPr>
          <w:rFonts w:ascii="Times New Roman" w:hAnsi="Times New Roman" w:eastAsia="Times New Roman" w:cs="Times New Roman"/>
          <w:color w:val="000000"/>
          <w:sz w:val="28"/>
          <w:szCs w:val="28"/>
          <w:lang w:eastAsia="ru-RU"/>
        </w:rPr>
        <w:t>Тромбоциттер мен моноциттер көрсеткіштері бойынша топтар арасында маңызды айырмашылық анықталмады, бірақ семіздігі бар топтарда қалыпты деңгейге жақын мәндер тіркелді.</w:t>
      </w:r>
    </w:p>
    <w:p w14:paraId="6E76F85B">
      <w:pPr>
        <w:widowControl w:val="0"/>
        <w:autoSpaceDE w:val="0"/>
        <w:autoSpaceDN w:val="0"/>
        <w:spacing w:after="0" w:line="276" w:lineRule="auto"/>
        <w:ind w:firstLine="709"/>
        <w:jc w:val="both"/>
        <w:outlineLvl w:val="0"/>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 xml:space="preserve">Жүкті әйелдерден стандартты зертханалық тексеру аясында коагулограмма көрсеткіштері алынды. Талдау нәтижелері бойынша топтар арасында жалпы коагулограммалық көрсеткіштерде айтарлықтай статистикалық маңызды айырмашылықтар анықталған жоқ. Дегенмен, протромбин индексі бақылау тобымен салыстырғанда негізгі топтарда шамалы жоғарылағаны байқалды (7-кесте). </w:t>
      </w:r>
    </w:p>
    <w:p w14:paraId="6522A202">
      <w:pPr>
        <w:widowControl w:val="0"/>
        <w:autoSpaceDE w:val="0"/>
        <w:autoSpaceDN w:val="0"/>
        <w:spacing w:after="0" w:line="276" w:lineRule="auto"/>
        <w:ind w:firstLine="709"/>
        <w:jc w:val="both"/>
        <w:outlineLvl w:val="0"/>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 xml:space="preserve"> </w:t>
      </w:r>
    </w:p>
    <w:p w14:paraId="7CAE16BE">
      <w:pPr>
        <w:widowControl w:val="0"/>
        <w:autoSpaceDE w:val="0"/>
        <w:autoSpaceDN w:val="0"/>
        <w:spacing w:after="0" w:line="276" w:lineRule="auto"/>
        <w:ind w:firstLine="709"/>
        <w:jc w:val="both"/>
        <w:outlineLvl w:val="0"/>
        <w:rPr>
          <w:rFonts w:ascii="Times New Roman" w:hAnsi="Times New Roman" w:eastAsia="Times New Roman" w:cs="Times New Roman"/>
          <w:bCs/>
          <w:iCs/>
          <w:sz w:val="28"/>
          <w:szCs w:val="28"/>
          <w:lang w:eastAsia="ru-RU"/>
        </w:rPr>
      </w:pPr>
      <w:r>
        <w:rPr>
          <w:rFonts w:ascii="Times New Roman" w:hAnsi="Times New Roman" w:eastAsia="Times New Roman" w:cs="Times New Roman"/>
          <w:bCs/>
          <w:iCs/>
          <w:sz w:val="28"/>
          <w:szCs w:val="28"/>
          <w:lang w:eastAsia="ru-RU"/>
        </w:rPr>
        <w:t>Кесте – 7. Жүкті әйелдердің зертханалық көрсеткіштерін (коагулограмма) салыстырмалы бағалау</w:t>
      </w:r>
    </w:p>
    <w:p w14:paraId="3DAB6611">
      <w:pPr>
        <w:widowControl w:val="0"/>
        <w:autoSpaceDE w:val="0"/>
        <w:autoSpaceDN w:val="0"/>
        <w:spacing w:after="0" w:line="276" w:lineRule="auto"/>
        <w:ind w:firstLine="709"/>
        <w:jc w:val="both"/>
        <w:outlineLvl w:val="0"/>
        <w:rPr>
          <w:rFonts w:ascii="Times New Roman" w:hAnsi="Times New Roman" w:eastAsia="Times New Roman" w:cs="Times New Roman"/>
          <w:bCs/>
          <w:iCs/>
          <w:sz w:val="28"/>
          <w:szCs w:val="28"/>
          <w:lang w:eastAsia="ru-RU"/>
        </w:rPr>
      </w:pPr>
    </w:p>
    <w:tbl>
      <w:tblPr>
        <w:tblStyle w:val="5"/>
        <w:tblW w:w="0" w:type="auto"/>
        <w:tblInd w:w="0" w:type="dxa"/>
        <w:tblLayout w:type="autofit"/>
        <w:tblCellMar>
          <w:top w:w="15" w:type="dxa"/>
          <w:left w:w="15" w:type="dxa"/>
          <w:bottom w:w="15" w:type="dxa"/>
          <w:right w:w="15" w:type="dxa"/>
        </w:tblCellMar>
      </w:tblPr>
      <w:tblGrid>
        <w:gridCol w:w="1606"/>
        <w:gridCol w:w="464"/>
        <w:gridCol w:w="1024"/>
        <w:gridCol w:w="465"/>
        <w:gridCol w:w="1024"/>
        <w:gridCol w:w="465"/>
        <w:gridCol w:w="1024"/>
        <w:gridCol w:w="465"/>
        <w:gridCol w:w="1148"/>
        <w:gridCol w:w="1700"/>
      </w:tblGrid>
      <w:tr w14:paraId="49CA0231">
        <w:tblPrEx>
          <w:tblCellMar>
            <w:top w:w="15" w:type="dxa"/>
            <w:left w:w="15" w:type="dxa"/>
            <w:bottom w:w="15" w:type="dxa"/>
            <w:right w:w="15" w:type="dxa"/>
          </w:tblCellMar>
        </w:tblPrEx>
        <w:tc>
          <w:tcPr>
            <w:tcW w:w="0" w:type="auto"/>
            <w:gridSpan w:val="10"/>
            <w:tcBorders>
              <w:top w:val="outset" w:color="auto" w:sz="6" w:space="0"/>
              <w:left w:val="outset" w:color="auto" w:sz="6" w:space="0"/>
              <w:bottom w:val="outset" w:color="auto" w:sz="6" w:space="0"/>
              <w:right w:val="outset" w:color="auto" w:sz="6" w:space="0"/>
            </w:tcBorders>
          </w:tcPr>
          <w:p w14:paraId="73777B81">
            <w:pPr>
              <w:widowControl w:val="0"/>
              <w:autoSpaceDE w:val="0"/>
              <w:autoSpaceDN w:val="0"/>
              <w:spacing w:after="0" w:line="276" w:lineRule="auto"/>
              <w:jc w:val="both"/>
              <w:outlineLvl w:val="0"/>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Pr>
              <w:t>Коагулограмма</w:t>
            </w:r>
          </w:p>
        </w:tc>
      </w:tr>
      <w:tr w14:paraId="60565B77">
        <w:tblPrEx>
          <w:tblCellMar>
            <w:top w:w="15" w:type="dxa"/>
            <w:left w:w="15" w:type="dxa"/>
            <w:bottom w:w="15" w:type="dxa"/>
            <w:right w:w="15" w:type="dxa"/>
          </w:tblCellMar>
        </w:tblPrEx>
        <w:tc>
          <w:tcPr>
            <w:tcW w:w="0" w:type="auto"/>
            <w:vMerge w:val="restart"/>
            <w:tcBorders>
              <w:top w:val="nil"/>
              <w:left w:val="outset" w:color="auto" w:sz="6" w:space="0"/>
              <w:bottom w:val="outset" w:color="auto" w:sz="6" w:space="0"/>
              <w:right w:val="outset" w:color="auto" w:sz="6" w:space="0"/>
            </w:tcBorders>
          </w:tcPr>
          <w:p w14:paraId="65C2F53B">
            <w:pPr>
              <w:widowControl w:val="0"/>
              <w:autoSpaceDE w:val="0"/>
              <w:autoSpaceDN w:val="0"/>
              <w:spacing w:after="0" w:line="276" w:lineRule="auto"/>
              <w:jc w:val="both"/>
              <w:outlineLvl w:val="0"/>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Pr>
              <w:t>Көрсеткіштер</w:t>
            </w:r>
          </w:p>
        </w:tc>
        <w:tc>
          <w:tcPr>
            <w:tcW w:w="0" w:type="auto"/>
            <w:gridSpan w:val="2"/>
            <w:tcBorders>
              <w:top w:val="outset" w:color="auto" w:sz="6" w:space="0"/>
              <w:left w:val="outset" w:color="auto" w:sz="6" w:space="0"/>
              <w:bottom w:val="outset" w:color="auto" w:sz="6" w:space="0"/>
              <w:right w:val="outset" w:color="auto" w:sz="6" w:space="0"/>
            </w:tcBorders>
          </w:tcPr>
          <w:p w14:paraId="0346B3B3">
            <w:pPr>
              <w:widowControl w:val="0"/>
              <w:autoSpaceDE w:val="0"/>
              <w:autoSpaceDN w:val="0"/>
              <w:spacing w:after="0" w:line="276" w:lineRule="auto"/>
              <w:jc w:val="both"/>
              <w:outlineLvl w:val="0"/>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Pr>
              <w:t>Бақылау</w:t>
            </w:r>
          </w:p>
          <w:p w14:paraId="4A6896A5">
            <w:pPr>
              <w:widowControl w:val="0"/>
              <w:autoSpaceDE w:val="0"/>
              <w:autoSpaceDN w:val="0"/>
              <w:spacing w:after="0" w:line="276" w:lineRule="auto"/>
              <w:jc w:val="both"/>
              <w:outlineLvl w:val="0"/>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Pr>
              <w:t>тобы</w:t>
            </w:r>
          </w:p>
        </w:tc>
        <w:tc>
          <w:tcPr>
            <w:tcW w:w="0" w:type="auto"/>
            <w:gridSpan w:val="6"/>
            <w:tcBorders>
              <w:top w:val="outset" w:color="auto" w:sz="6" w:space="0"/>
              <w:left w:val="outset" w:color="auto" w:sz="6" w:space="0"/>
              <w:bottom w:val="outset" w:color="auto" w:sz="6" w:space="0"/>
              <w:right w:val="outset" w:color="auto" w:sz="6" w:space="0"/>
            </w:tcBorders>
          </w:tcPr>
          <w:p w14:paraId="29680FC3">
            <w:pPr>
              <w:widowControl w:val="0"/>
              <w:autoSpaceDE w:val="0"/>
              <w:autoSpaceDN w:val="0"/>
              <w:spacing w:after="0" w:line="276" w:lineRule="auto"/>
              <w:jc w:val="both"/>
              <w:outlineLvl w:val="0"/>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Pr>
              <w:t>Негізгі топтар</w:t>
            </w:r>
          </w:p>
        </w:tc>
        <w:tc>
          <w:tcPr>
            <w:tcW w:w="0" w:type="auto"/>
            <w:vMerge w:val="restart"/>
            <w:tcBorders>
              <w:top w:val="outset" w:color="auto" w:sz="6" w:space="0"/>
              <w:left w:val="outset" w:color="auto" w:sz="6" w:space="0"/>
              <w:bottom w:val="outset" w:color="auto" w:sz="6" w:space="0"/>
              <w:right w:val="outset" w:color="auto" w:sz="6" w:space="0"/>
            </w:tcBorders>
          </w:tcPr>
          <w:p w14:paraId="183171D3">
            <w:pPr>
              <w:widowControl w:val="0"/>
              <w:autoSpaceDE w:val="0"/>
              <w:autoSpaceDN w:val="0"/>
              <w:spacing w:after="0" w:line="276" w:lineRule="auto"/>
              <w:jc w:val="both"/>
              <w:outlineLvl w:val="0"/>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Pr>
              <w:t xml:space="preserve">Kruskal–Wallis test </w:t>
            </w:r>
          </w:p>
          <w:p w14:paraId="3BE87828">
            <w:pPr>
              <w:widowControl w:val="0"/>
              <w:autoSpaceDE w:val="0"/>
              <w:autoSpaceDN w:val="0"/>
              <w:spacing w:after="0" w:line="276" w:lineRule="auto"/>
              <w:jc w:val="both"/>
              <w:outlineLvl w:val="0"/>
              <w:rPr>
                <w:rFonts w:ascii="Times New Roman" w:hAnsi="Times New Roman" w:eastAsia="Times New Roman" w:cs="Times New Roman"/>
                <w:b/>
                <w:bCs/>
                <w:sz w:val="28"/>
                <w:szCs w:val="28"/>
              </w:rPr>
            </w:pPr>
          </w:p>
        </w:tc>
      </w:tr>
      <w:tr w14:paraId="35A2944E">
        <w:tblPrEx>
          <w:tblCellMar>
            <w:top w:w="15" w:type="dxa"/>
            <w:left w:w="15" w:type="dxa"/>
            <w:bottom w:w="15" w:type="dxa"/>
            <w:right w:w="15" w:type="dxa"/>
          </w:tblCellMar>
        </w:tblPrEx>
        <w:tc>
          <w:tcPr>
            <w:tcW w:w="0" w:type="auto"/>
            <w:vMerge w:val="continue"/>
            <w:tcBorders>
              <w:top w:val="nil"/>
              <w:left w:val="outset" w:color="auto" w:sz="6" w:space="0"/>
              <w:bottom w:val="outset" w:color="auto" w:sz="6" w:space="0"/>
              <w:right w:val="outset" w:color="auto" w:sz="6" w:space="0"/>
            </w:tcBorders>
            <w:vAlign w:val="center"/>
          </w:tcPr>
          <w:p w14:paraId="6BFFC243">
            <w:pPr>
              <w:spacing w:after="0" w:line="276" w:lineRule="auto"/>
              <w:jc w:val="both"/>
              <w:outlineLvl w:val="0"/>
              <w:rPr>
                <w:rFonts w:ascii="Times New Roman" w:hAnsi="Times New Roman" w:eastAsia="Times New Roman" w:cs="Times New Roman"/>
                <w:b/>
                <w:bCs/>
                <w:sz w:val="28"/>
                <w:szCs w:val="28"/>
              </w:rPr>
            </w:pPr>
          </w:p>
        </w:tc>
        <w:tc>
          <w:tcPr>
            <w:tcW w:w="0" w:type="auto"/>
            <w:gridSpan w:val="2"/>
            <w:tcBorders>
              <w:top w:val="nil"/>
              <w:left w:val="outset" w:color="auto" w:sz="6" w:space="0"/>
              <w:bottom w:val="outset" w:color="auto" w:sz="6" w:space="0"/>
              <w:right w:val="outset" w:color="auto" w:sz="6" w:space="0"/>
            </w:tcBorders>
          </w:tcPr>
          <w:p w14:paraId="4DCC82F8">
            <w:pPr>
              <w:widowControl w:val="0"/>
              <w:autoSpaceDE w:val="0"/>
              <w:autoSpaceDN w:val="0"/>
              <w:spacing w:after="0" w:line="276" w:lineRule="auto"/>
              <w:jc w:val="both"/>
              <w:outlineLvl w:val="0"/>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Pr>
              <w:t>1 топ</w:t>
            </w:r>
          </w:p>
          <w:p w14:paraId="39C93D09">
            <w:pPr>
              <w:widowControl w:val="0"/>
              <w:autoSpaceDE w:val="0"/>
              <w:autoSpaceDN w:val="0"/>
              <w:spacing w:after="0" w:line="276" w:lineRule="auto"/>
              <w:jc w:val="both"/>
              <w:outlineLvl w:val="0"/>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Pr>
              <w:t>(n=43)</w:t>
            </w:r>
          </w:p>
        </w:tc>
        <w:tc>
          <w:tcPr>
            <w:tcW w:w="0" w:type="auto"/>
            <w:gridSpan w:val="2"/>
            <w:tcBorders>
              <w:top w:val="nil"/>
              <w:left w:val="outset" w:color="auto" w:sz="6" w:space="0"/>
              <w:bottom w:val="outset" w:color="auto" w:sz="6" w:space="0"/>
              <w:right w:val="outset" w:color="auto" w:sz="6" w:space="0"/>
            </w:tcBorders>
          </w:tcPr>
          <w:p w14:paraId="78374D0B">
            <w:pPr>
              <w:widowControl w:val="0"/>
              <w:autoSpaceDE w:val="0"/>
              <w:autoSpaceDN w:val="0"/>
              <w:spacing w:after="0" w:line="276" w:lineRule="auto"/>
              <w:jc w:val="both"/>
              <w:outlineLvl w:val="0"/>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Pr>
              <w:t>2 топ</w:t>
            </w:r>
          </w:p>
          <w:p w14:paraId="7C93A9D6">
            <w:pPr>
              <w:widowControl w:val="0"/>
              <w:autoSpaceDE w:val="0"/>
              <w:autoSpaceDN w:val="0"/>
              <w:spacing w:after="0" w:line="276" w:lineRule="auto"/>
              <w:jc w:val="both"/>
              <w:outlineLvl w:val="0"/>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Pr>
              <w:t>(n=40)</w:t>
            </w:r>
          </w:p>
        </w:tc>
        <w:tc>
          <w:tcPr>
            <w:tcW w:w="0" w:type="auto"/>
            <w:gridSpan w:val="2"/>
            <w:tcBorders>
              <w:top w:val="nil"/>
              <w:left w:val="outset" w:color="auto" w:sz="6" w:space="0"/>
              <w:bottom w:val="outset" w:color="auto" w:sz="6" w:space="0"/>
              <w:right w:val="outset" w:color="auto" w:sz="6" w:space="0"/>
            </w:tcBorders>
          </w:tcPr>
          <w:p w14:paraId="47E766E9">
            <w:pPr>
              <w:widowControl w:val="0"/>
              <w:autoSpaceDE w:val="0"/>
              <w:autoSpaceDN w:val="0"/>
              <w:spacing w:after="0" w:line="276" w:lineRule="auto"/>
              <w:jc w:val="both"/>
              <w:outlineLvl w:val="0"/>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Pr>
              <w:t>3 топ</w:t>
            </w:r>
          </w:p>
          <w:p w14:paraId="1363CF57">
            <w:pPr>
              <w:widowControl w:val="0"/>
              <w:autoSpaceDE w:val="0"/>
              <w:autoSpaceDN w:val="0"/>
              <w:spacing w:after="0" w:line="276" w:lineRule="auto"/>
              <w:jc w:val="both"/>
              <w:outlineLvl w:val="0"/>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Pr>
              <w:t>(n=48)</w:t>
            </w:r>
          </w:p>
        </w:tc>
        <w:tc>
          <w:tcPr>
            <w:tcW w:w="0" w:type="auto"/>
            <w:gridSpan w:val="2"/>
            <w:tcBorders>
              <w:top w:val="outset" w:color="auto" w:sz="6" w:space="0"/>
              <w:left w:val="outset" w:color="auto" w:sz="6" w:space="0"/>
              <w:bottom w:val="outset" w:color="auto" w:sz="6" w:space="0"/>
              <w:right w:val="outset" w:color="auto" w:sz="6" w:space="0"/>
            </w:tcBorders>
          </w:tcPr>
          <w:p w14:paraId="7715F626">
            <w:pPr>
              <w:widowControl w:val="0"/>
              <w:autoSpaceDE w:val="0"/>
              <w:autoSpaceDN w:val="0"/>
              <w:spacing w:after="0" w:line="276" w:lineRule="auto"/>
              <w:jc w:val="both"/>
              <w:outlineLvl w:val="0"/>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Pr>
              <w:t>4 топ</w:t>
            </w:r>
          </w:p>
          <w:p w14:paraId="2090FCD4">
            <w:pPr>
              <w:widowControl w:val="0"/>
              <w:autoSpaceDE w:val="0"/>
              <w:autoSpaceDN w:val="0"/>
              <w:spacing w:after="0" w:line="276" w:lineRule="auto"/>
              <w:jc w:val="both"/>
              <w:outlineLvl w:val="0"/>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Pr>
              <w:t>(n=36)</w:t>
            </w: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75400F94">
            <w:pPr>
              <w:spacing w:after="0" w:line="276" w:lineRule="auto"/>
              <w:jc w:val="both"/>
              <w:outlineLvl w:val="0"/>
              <w:rPr>
                <w:rFonts w:ascii="Times New Roman" w:hAnsi="Times New Roman" w:eastAsia="Times New Roman" w:cs="Times New Roman"/>
                <w:b/>
                <w:bCs/>
                <w:sz w:val="28"/>
                <w:szCs w:val="28"/>
              </w:rPr>
            </w:pPr>
          </w:p>
        </w:tc>
      </w:tr>
      <w:tr w14:paraId="6470C296">
        <w:tblPrEx>
          <w:tblCellMar>
            <w:top w:w="15" w:type="dxa"/>
            <w:left w:w="15" w:type="dxa"/>
            <w:bottom w:w="15" w:type="dxa"/>
            <w:right w:w="15" w:type="dxa"/>
          </w:tblCellMar>
        </w:tblPrEx>
        <w:tc>
          <w:tcPr>
            <w:tcW w:w="0" w:type="auto"/>
            <w:tcBorders>
              <w:top w:val="nil"/>
              <w:left w:val="outset" w:color="auto" w:sz="6" w:space="0"/>
              <w:bottom w:val="outset" w:color="auto" w:sz="6" w:space="0"/>
              <w:right w:val="outset" w:color="auto" w:sz="6" w:space="0"/>
            </w:tcBorders>
          </w:tcPr>
          <w:p w14:paraId="392051C6">
            <w:pPr>
              <w:widowControl w:val="0"/>
              <w:autoSpaceDE w:val="0"/>
              <w:autoSpaceDN w:val="0"/>
              <w:spacing w:after="0" w:line="276" w:lineRule="auto"/>
              <w:jc w:val="both"/>
              <w:outlineLvl w:val="0"/>
              <w:rPr>
                <w:rFonts w:ascii="Times New Roman" w:hAnsi="Times New Roman" w:eastAsia="Times New Roman" w:cs="Times New Roman"/>
                <w:sz w:val="28"/>
                <w:szCs w:val="28"/>
              </w:rPr>
            </w:pPr>
          </w:p>
        </w:tc>
        <w:tc>
          <w:tcPr>
            <w:tcW w:w="0" w:type="auto"/>
            <w:tcBorders>
              <w:top w:val="nil"/>
              <w:left w:val="outset" w:color="auto" w:sz="6" w:space="0"/>
              <w:bottom w:val="outset" w:color="auto" w:sz="6" w:space="0"/>
              <w:right w:val="outset" w:color="auto" w:sz="6" w:space="0"/>
            </w:tcBorders>
          </w:tcPr>
          <w:p w14:paraId="27EDDFD0">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Ме</w:t>
            </w:r>
          </w:p>
        </w:tc>
        <w:tc>
          <w:tcPr>
            <w:tcW w:w="0" w:type="auto"/>
            <w:tcBorders>
              <w:top w:val="nil"/>
              <w:left w:val="outset" w:color="auto" w:sz="6" w:space="0"/>
              <w:bottom w:val="outset" w:color="auto" w:sz="6" w:space="0"/>
              <w:right w:val="outset" w:color="auto" w:sz="6" w:space="0"/>
            </w:tcBorders>
          </w:tcPr>
          <w:p w14:paraId="6BB001F5">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Q25– Q75</w:t>
            </w:r>
          </w:p>
        </w:tc>
        <w:tc>
          <w:tcPr>
            <w:tcW w:w="0" w:type="auto"/>
            <w:tcBorders>
              <w:top w:val="nil"/>
              <w:left w:val="outset" w:color="auto" w:sz="6" w:space="0"/>
              <w:bottom w:val="outset" w:color="auto" w:sz="6" w:space="0"/>
              <w:right w:val="outset" w:color="auto" w:sz="6" w:space="0"/>
            </w:tcBorders>
          </w:tcPr>
          <w:p w14:paraId="5A47F436">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Ме</w:t>
            </w:r>
          </w:p>
        </w:tc>
        <w:tc>
          <w:tcPr>
            <w:tcW w:w="0" w:type="auto"/>
            <w:tcBorders>
              <w:top w:val="nil"/>
              <w:left w:val="outset" w:color="auto" w:sz="6" w:space="0"/>
              <w:bottom w:val="outset" w:color="auto" w:sz="6" w:space="0"/>
              <w:right w:val="outset" w:color="auto" w:sz="6" w:space="0"/>
            </w:tcBorders>
          </w:tcPr>
          <w:p w14:paraId="15709E27">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Q25– Q75</w:t>
            </w:r>
          </w:p>
        </w:tc>
        <w:tc>
          <w:tcPr>
            <w:tcW w:w="0" w:type="auto"/>
            <w:tcBorders>
              <w:top w:val="nil"/>
              <w:left w:val="outset" w:color="auto" w:sz="6" w:space="0"/>
              <w:bottom w:val="outset" w:color="auto" w:sz="6" w:space="0"/>
              <w:right w:val="outset" w:color="auto" w:sz="6" w:space="0"/>
            </w:tcBorders>
          </w:tcPr>
          <w:p w14:paraId="1C6FEC2D">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Ме</w:t>
            </w:r>
          </w:p>
        </w:tc>
        <w:tc>
          <w:tcPr>
            <w:tcW w:w="0" w:type="auto"/>
            <w:tcBorders>
              <w:top w:val="outset" w:color="auto" w:sz="6" w:space="0"/>
              <w:left w:val="outset" w:color="auto" w:sz="6" w:space="0"/>
              <w:bottom w:val="outset" w:color="auto" w:sz="6" w:space="0"/>
              <w:right w:val="outset" w:color="auto" w:sz="6" w:space="0"/>
            </w:tcBorders>
          </w:tcPr>
          <w:p w14:paraId="0CC4420F">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Q25– Q75</w:t>
            </w:r>
          </w:p>
        </w:tc>
        <w:tc>
          <w:tcPr>
            <w:tcW w:w="0" w:type="auto"/>
            <w:tcBorders>
              <w:top w:val="outset" w:color="auto" w:sz="6" w:space="0"/>
              <w:left w:val="outset" w:color="auto" w:sz="6" w:space="0"/>
              <w:bottom w:val="outset" w:color="auto" w:sz="6" w:space="0"/>
              <w:right w:val="outset" w:color="auto" w:sz="6" w:space="0"/>
            </w:tcBorders>
          </w:tcPr>
          <w:p w14:paraId="6026E668">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Ме</w:t>
            </w:r>
          </w:p>
        </w:tc>
        <w:tc>
          <w:tcPr>
            <w:tcW w:w="0" w:type="auto"/>
            <w:tcBorders>
              <w:top w:val="outset" w:color="auto" w:sz="6" w:space="0"/>
              <w:left w:val="outset" w:color="auto" w:sz="6" w:space="0"/>
              <w:bottom w:val="outset" w:color="auto" w:sz="6" w:space="0"/>
              <w:right w:val="outset" w:color="auto" w:sz="6" w:space="0"/>
            </w:tcBorders>
          </w:tcPr>
          <w:p w14:paraId="4F61FD05">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Q25– Q75</w:t>
            </w:r>
          </w:p>
        </w:tc>
        <w:tc>
          <w:tcPr>
            <w:tcW w:w="0" w:type="auto"/>
            <w:tcBorders>
              <w:top w:val="outset" w:color="auto" w:sz="6" w:space="0"/>
              <w:left w:val="outset" w:color="auto" w:sz="6" w:space="0"/>
              <w:bottom w:val="outset" w:color="auto" w:sz="6" w:space="0"/>
              <w:right w:val="outset" w:color="auto" w:sz="6" w:space="0"/>
            </w:tcBorders>
          </w:tcPr>
          <w:p w14:paraId="7D348F77">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b/>
                <w:bCs/>
                <w:sz w:val="28"/>
                <w:szCs w:val="28"/>
              </w:rPr>
              <w:t>p &lt; 0.05*</w:t>
            </w:r>
          </w:p>
        </w:tc>
      </w:tr>
      <w:tr w14:paraId="3A92E4C0">
        <w:tblPrEx>
          <w:tblCellMar>
            <w:top w:w="15" w:type="dxa"/>
            <w:left w:w="15" w:type="dxa"/>
            <w:bottom w:w="15" w:type="dxa"/>
            <w:right w:w="15" w:type="dxa"/>
          </w:tblCellMar>
        </w:tblPrEx>
        <w:tc>
          <w:tcPr>
            <w:tcW w:w="0" w:type="auto"/>
            <w:tcBorders>
              <w:top w:val="nil"/>
              <w:left w:val="outset" w:color="auto" w:sz="6" w:space="0"/>
              <w:bottom w:val="outset" w:color="auto" w:sz="6" w:space="0"/>
              <w:right w:val="outset" w:color="auto" w:sz="6" w:space="0"/>
            </w:tcBorders>
          </w:tcPr>
          <w:p w14:paraId="54E5E628">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Calibri" w:cs="Times New Roman"/>
                <w:sz w:val="28"/>
                <w:szCs w:val="28"/>
              </w:rPr>
              <w:t>Халықаралық қалыптасқан қатынас</w:t>
            </w:r>
            <w:r>
              <w:rPr>
                <w:rFonts w:ascii="Times New Roman" w:hAnsi="Times New Roman" w:eastAsia="Times New Roman" w:cs="Times New Roman"/>
                <w:sz w:val="28"/>
                <w:szCs w:val="28"/>
              </w:rPr>
              <w:t xml:space="preserve"> (ХҚҚ)</w:t>
            </w:r>
          </w:p>
        </w:tc>
        <w:tc>
          <w:tcPr>
            <w:tcW w:w="0" w:type="auto"/>
            <w:tcBorders>
              <w:top w:val="nil"/>
              <w:left w:val="outset" w:color="auto" w:sz="6" w:space="0"/>
              <w:bottom w:val="outset" w:color="auto" w:sz="6" w:space="0"/>
              <w:right w:val="outset" w:color="auto" w:sz="6" w:space="0"/>
            </w:tcBorders>
          </w:tcPr>
          <w:p w14:paraId="12BB7B6E">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1,0</w:t>
            </w:r>
          </w:p>
        </w:tc>
        <w:tc>
          <w:tcPr>
            <w:tcW w:w="0" w:type="auto"/>
            <w:tcBorders>
              <w:top w:val="nil"/>
              <w:left w:val="outset" w:color="auto" w:sz="6" w:space="0"/>
              <w:bottom w:val="outset" w:color="auto" w:sz="6" w:space="0"/>
              <w:right w:val="outset" w:color="auto" w:sz="6" w:space="0"/>
            </w:tcBorders>
          </w:tcPr>
          <w:p w14:paraId="3D7AD7D8">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1,0–1,1</w:t>
            </w:r>
          </w:p>
        </w:tc>
        <w:tc>
          <w:tcPr>
            <w:tcW w:w="0" w:type="auto"/>
            <w:tcBorders>
              <w:top w:val="nil"/>
              <w:left w:val="outset" w:color="auto" w:sz="6" w:space="0"/>
              <w:bottom w:val="outset" w:color="auto" w:sz="6" w:space="0"/>
              <w:right w:val="outset" w:color="auto" w:sz="6" w:space="0"/>
            </w:tcBorders>
          </w:tcPr>
          <w:p w14:paraId="2CB74BBE">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1,01</w:t>
            </w:r>
          </w:p>
        </w:tc>
        <w:tc>
          <w:tcPr>
            <w:tcW w:w="0" w:type="auto"/>
            <w:tcBorders>
              <w:top w:val="nil"/>
              <w:left w:val="outset" w:color="auto" w:sz="6" w:space="0"/>
              <w:bottom w:val="outset" w:color="auto" w:sz="6" w:space="0"/>
              <w:right w:val="outset" w:color="auto" w:sz="6" w:space="0"/>
            </w:tcBorders>
          </w:tcPr>
          <w:p w14:paraId="0EE17C70">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1,0–1,08</w:t>
            </w:r>
          </w:p>
        </w:tc>
        <w:tc>
          <w:tcPr>
            <w:tcW w:w="0" w:type="auto"/>
            <w:tcBorders>
              <w:top w:val="nil"/>
              <w:left w:val="outset" w:color="auto" w:sz="6" w:space="0"/>
              <w:bottom w:val="outset" w:color="auto" w:sz="6" w:space="0"/>
              <w:right w:val="outset" w:color="auto" w:sz="6" w:space="0"/>
            </w:tcBorders>
          </w:tcPr>
          <w:p w14:paraId="7B6F81F1">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1,1</w:t>
            </w:r>
          </w:p>
        </w:tc>
        <w:tc>
          <w:tcPr>
            <w:tcW w:w="0" w:type="auto"/>
            <w:tcBorders>
              <w:top w:val="nil"/>
              <w:left w:val="outset" w:color="auto" w:sz="6" w:space="0"/>
              <w:bottom w:val="outset" w:color="auto" w:sz="6" w:space="0"/>
              <w:right w:val="outset" w:color="auto" w:sz="6" w:space="0"/>
            </w:tcBorders>
          </w:tcPr>
          <w:p w14:paraId="7FD8EFA9">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1,0–1,1</w:t>
            </w:r>
          </w:p>
        </w:tc>
        <w:tc>
          <w:tcPr>
            <w:tcW w:w="0" w:type="auto"/>
            <w:tcBorders>
              <w:top w:val="nil"/>
              <w:left w:val="outset" w:color="auto" w:sz="6" w:space="0"/>
              <w:bottom w:val="outset" w:color="auto" w:sz="6" w:space="0"/>
              <w:right w:val="outset" w:color="auto" w:sz="6" w:space="0"/>
            </w:tcBorders>
          </w:tcPr>
          <w:p w14:paraId="406F2300">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1,1</w:t>
            </w:r>
          </w:p>
        </w:tc>
        <w:tc>
          <w:tcPr>
            <w:tcW w:w="0" w:type="auto"/>
            <w:tcBorders>
              <w:top w:val="nil"/>
              <w:left w:val="outset" w:color="auto" w:sz="6" w:space="0"/>
              <w:bottom w:val="outset" w:color="auto" w:sz="6" w:space="0"/>
              <w:right w:val="outset" w:color="auto" w:sz="6" w:space="0"/>
            </w:tcBorders>
          </w:tcPr>
          <w:p w14:paraId="029E938A">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1,0–1,10</w:t>
            </w:r>
          </w:p>
        </w:tc>
        <w:tc>
          <w:tcPr>
            <w:tcW w:w="0" w:type="auto"/>
            <w:tcBorders>
              <w:top w:val="nil"/>
              <w:left w:val="outset" w:color="auto" w:sz="6" w:space="0"/>
              <w:bottom w:val="outset" w:color="auto" w:sz="6" w:space="0"/>
              <w:right w:val="outset" w:color="auto" w:sz="6" w:space="0"/>
            </w:tcBorders>
          </w:tcPr>
          <w:p w14:paraId="188ED520">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0,099</w:t>
            </w:r>
          </w:p>
        </w:tc>
      </w:tr>
      <w:tr w14:paraId="340226D4">
        <w:tblPrEx>
          <w:tblCellMar>
            <w:top w:w="15" w:type="dxa"/>
            <w:left w:w="15" w:type="dxa"/>
            <w:bottom w:w="15" w:type="dxa"/>
            <w:right w:w="15" w:type="dxa"/>
          </w:tblCellMar>
        </w:tblPrEx>
        <w:tc>
          <w:tcPr>
            <w:tcW w:w="0" w:type="auto"/>
            <w:tcBorders>
              <w:top w:val="nil"/>
              <w:left w:val="outset" w:color="auto" w:sz="6" w:space="0"/>
              <w:bottom w:val="outset" w:color="auto" w:sz="6" w:space="0"/>
              <w:right w:val="outset" w:color="auto" w:sz="6" w:space="0"/>
            </w:tcBorders>
          </w:tcPr>
          <w:p w14:paraId="305E661A">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Протромбиндік индекс</w:t>
            </w:r>
          </w:p>
        </w:tc>
        <w:tc>
          <w:tcPr>
            <w:tcW w:w="0" w:type="auto"/>
            <w:tcBorders>
              <w:top w:val="nil"/>
              <w:left w:val="outset" w:color="auto" w:sz="6" w:space="0"/>
              <w:bottom w:val="outset" w:color="auto" w:sz="6" w:space="0"/>
              <w:right w:val="outset" w:color="auto" w:sz="6" w:space="0"/>
            </w:tcBorders>
          </w:tcPr>
          <w:p w14:paraId="307FD0CF">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96,0</w:t>
            </w:r>
          </w:p>
        </w:tc>
        <w:tc>
          <w:tcPr>
            <w:tcW w:w="0" w:type="auto"/>
            <w:tcBorders>
              <w:top w:val="nil"/>
              <w:left w:val="outset" w:color="auto" w:sz="6" w:space="0"/>
              <w:bottom w:val="outset" w:color="auto" w:sz="6" w:space="0"/>
              <w:right w:val="outset" w:color="auto" w:sz="6" w:space="0"/>
            </w:tcBorders>
          </w:tcPr>
          <w:p w14:paraId="327A551D">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95,0–98,0</w:t>
            </w:r>
          </w:p>
        </w:tc>
        <w:tc>
          <w:tcPr>
            <w:tcW w:w="0" w:type="auto"/>
            <w:tcBorders>
              <w:top w:val="nil"/>
              <w:left w:val="outset" w:color="auto" w:sz="6" w:space="0"/>
              <w:bottom w:val="outset" w:color="auto" w:sz="6" w:space="0"/>
              <w:right w:val="outset" w:color="auto" w:sz="6" w:space="0"/>
            </w:tcBorders>
          </w:tcPr>
          <w:p w14:paraId="1A20110E">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97,5</w:t>
            </w:r>
          </w:p>
        </w:tc>
        <w:tc>
          <w:tcPr>
            <w:tcW w:w="0" w:type="auto"/>
            <w:tcBorders>
              <w:top w:val="nil"/>
              <w:left w:val="outset" w:color="auto" w:sz="6" w:space="0"/>
              <w:bottom w:val="outset" w:color="auto" w:sz="6" w:space="0"/>
              <w:right w:val="outset" w:color="auto" w:sz="6" w:space="0"/>
            </w:tcBorders>
          </w:tcPr>
          <w:p w14:paraId="5B3AFF8E">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95,0–98,0</w:t>
            </w:r>
          </w:p>
        </w:tc>
        <w:tc>
          <w:tcPr>
            <w:tcW w:w="0" w:type="auto"/>
            <w:tcBorders>
              <w:top w:val="nil"/>
              <w:left w:val="outset" w:color="auto" w:sz="6" w:space="0"/>
              <w:bottom w:val="outset" w:color="auto" w:sz="6" w:space="0"/>
              <w:right w:val="outset" w:color="auto" w:sz="6" w:space="0"/>
            </w:tcBorders>
          </w:tcPr>
          <w:p w14:paraId="016AD0A4">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95,0</w:t>
            </w:r>
          </w:p>
        </w:tc>
        <w:tc>
          <w:tcPr>
            <w:tcW w:w="0" w:type="auto"/>
            <w:tcBorders>
              <w:top w:val="nil"/>
              <w:left w:val="outset" w:color="auto" w:sz="6" w:space="0"/>
              <w:bottom w:val="outset" w:color="auto" w:sz="6" w:space="0"/>
              <w:right w:val="outset" w:color="auto" w:sz="6" w:space="0"/>
            </w:tcBorders>
          </w:tcPr>
          <w:p w14:paraId="79D2E630">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93,0–97,0</w:t>
            </w:r>
          </w:p>
        </w:tc>
        <w:tc>
          <w:tcPr>
            <w:tcW w:w="0" w:type="auto"/>
            <w:tcBorders>
              <w:top w:val="nil"/>
              <w:left w:val="outset" w:color="auto" w:sz="6" w:space="0"/>
              <w:bottom w:val="outset" w:color="auto" w:sz="6" w:space="0"/>
              <w:right w:val="outset" w:color="auto" w:sz="6" w:space="0"/>
            </w:tcBorders>
          </w:tcPr>
          <w:p w14:paraId="2AD5ABA3">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95,0</w:t>
            </w:r>
          </w:p>
        </w:tc>
        <w:tc>
          <w:tcPr>
            <w:tcW w:w="0" w:type="auto"/>
            <w:tcBorders>
              <w:top w:val="nil"/>
              <w:left w:val="outset" w:color="auto" w:sz="6" w:space="0"/>
              <w:bottom w:val="outset" w:color="auto" w:sz="6" w:space="0"/>
              <w:right w:val="outset" w:color="auto" w:sz="6" w:space="0"/>
            </w:tcBorders>
          </w:tcPr>
          <w:p w14:paraId="62265651">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94,0–96,00</w:t>
            </w:r>
          </w:p>
        </w:tc>
        <w:tc>
          <w:tcPr>
            <w:tcW w:w="0" w:type="auto"/>
            <w:tcBorders>
              <w:top w:val="nil"/>
              <w:left w:val="outset" w:color="auto" w:sz="6" w:space="0"/>
              <w:bottom w:val="outset" w:color="auto" w:sz="6" w:space="0"/>
              <w:right w:val="outset" w:color="auto" w:sz="6" w:space="0"/>
            </w:tcBorders>
          </w:tcPr>
          <w:p w14:paraId="73CA53EA">
            <w:pPr>
              <w:widowControl w:val="0"/>
              <w:autoSpaceDE w:val="0"/>
              <w:autoSpaceDN w:val="0"/>
              <w:spacing w:after="0" w:line="276" w:lineRule="auto"/>
              <w:jc w:val="both"/>
              <w:outlineLvl w:val="0"/>
              <w:rPr>
                <w:rFonts w:ascii="Times New Roman" w:hAnsi="Times New Roman" w:eastAsia="Times New Roman" w:cs="Times New Roman"/>
                <w:b/>
                <w:sz w:val="28"/>
                <w:szCs w:val="28"/>
              </w:rPr>
            </w:pPr>
            <w:r>
              <w:rPr>
                <w:rFonts w:ascii="Times New Roman" w:hAnsi="Times New Roman" w:eastAsia="Times New Roman" w:cs="Times New Roman"/>
                <w:b/>
                <w:sz w:val="28"/>
                <w:szCs w:val="28"/>
              </w:rPr>
              <w:t>0,039</w:t>
            </w:r>
            <w:r>
              <w:rPr>
                <w:rFonts w:ascii="Times New Roman" w:hAnsi="Times New Roman" w:eastAsia="Times New Roman" w:cs="Times New Roman"/>
                <w:b/>
                <w:i/>
                <w:sz w:val="28"/>
                <w:szCs w:val="28"/>
              </w:rPr>
              <w:t>*</w:t>
            </w:r>
          </w:p>
        </w:tc>
      </w:tr>
      <w:tr w14:paraId="2FAAEB4B">
        <w:tblPrEx>
          <w:tblCellMar>
            <w:top w:w="15" w:type="dxa"/>
            <w:left w:w="15" w:type="dxa"/>
            <w:bottom w:w="15" w:type="dxa"/>
            <w:right w:w="15" w:type="dxa"/>
          </w:tblCellMar>
        </w:tblPrEx>
        <w:tc>
          <w:tcPr>
            <w:tcW w:w="0" w:type="auto"/>
            <w:tcBorders>
              <w:top w:val="nil"/>
              <w:left w:val="outset" w:color="auto" w:sz="6" w:space="0"/>
              <w:bottom w:val="outset" w:color="auto" w:sz="6" w:space="0"/>
              <w:right w:val="outset" w:color="auto" w:sz="6" w:space="0"/>
            </w:tcBorders>
          </w:tcPr>
          <w:p w14:paraId="51985F5E">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Протромбиндік уақыт</w:t>
            </w:r>
          </w:p>
        </w:tc>
        <w:tc>
          <w:tcPr>
            <w:tcW w:w="0" w:type="auto"/>
            <w:tcBorders>
              <w:top w:val="nil"/>
              <w:left w:val="outset" w:color="auto" w:sz="6" w:space="0"/>
              <w:bottom w:val="outset" w:color="auto" w:sz="6" w:space="0"/>
              <w:right w:val="outset" w:color="auto" w:sz="6" w:space="0"/>
            </w:tcBorders>
          </w:tcPr>
          <w:p w14:paraId="5D8F7682">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16,0</w:t>
            </w:r>
          </w:p>
        </w:tc>
        <w:tc>
          <w:tcPr>
            <w:tcW w:w="0" w:type="auto"/>
            <w:tcBorders>
              <w:top w:val="nil"/>
              <w:left w:val="outset" w:color="auto" w:sz="6" w:space="0"/>
              <w:bottom w:val="outset" w:color="auto" w:sz="6" w:space="0"/>
              <w:right w:val="outset" w:color="auto" w:sz="6" w:space="0"/>
            </w:tcBorders>
          </w:tcPr>
          <w:p w14:paraId="63C23F80">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15,0–16,0</w:t>
            </w:r>
          </w:p>
        </w:tc>
        <w:tc>
          <w:tcPr>
            <w:tcW w:w="0" w:type="auto"/>
            <w:tcBorders>
              <w:top w:val="nil"/>
              <w:left w:val="outset" w:color="auto" w:sz="6" w:space="0"/>
              <w:bottom w:val="outset" w:color="auto" w:sz="6" w:space="0"/>
              <w:right w:val="outset" w:color="auto" w:sz="6" w:space="0"/>
            </w:tcBorders>
          </w:tcPr>
          <w:p w14:paraId="2E0B0F62">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16,0</w:t>
            </w:r>
          </w:p>
        </w:tc>
        <w:tc>
          <w:tcPr>
            <w:tcW w:w="0" w:type="auto"/>
            <w:tcBorders>
              <w:top w:val="nil"/>
              <w:left w:val="outset" w:color="auto" w:sz="6" w:space="0"/>
              <w:bottom w:val="outset" w:color="auto" w:sz="6" w:space="0"/>
              <w:right w:val="outset" w:color="auto" w:sz="6" w:space="0"/>
            </w:tcBorders>
          </w:tcPr>
          <w:p w14:paraId="7959DC12">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15,0–17,0</w:t>
            </w:r>
          </w:p>
        </w:tc>
        <w:tc>
          <w:tcPr>
            <w:tcW w:w="0" w:type="auto"/>
            <w:tcBorders>
              <w:top w:val="nil"/>
              <w:left w:val="outset" w:color="auto" w:sz="6" w:space="0"/>
              <w:bottom w:val="outset" w:color="auto" w:sz="6" w:space="0"/>
              <w:right w:val="outset" w:color="auto" w:sz="6" w:space="0"/>
            </w:tcBorders>
          </w:tcPr>
          <w:p w14:paraId="075C8498">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16,0</w:t>
            </w:r>
          </w:p>
        </w:tc>
        <w:tc>
          <w:tcPr>
            <w:tcW w:w="0" w:type="auto"/>
            <w:tcBorders>
              <w:top w:val="nil"/>
              <w:left w:val="outset" w:color="auto" w:sz="6" w:space="0"/>
              <w:bottom w:val="outset" w:color="auto" w:sz="6" w:space="0"/>
              <w:right w:val="outset" w:color="auto" w:sz="6" w:space="0"/>
            </w:tcBorders>
          </w:tcPr>
          <w:p w14:paraId="03577DFC">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15,0–17,0</w:t>
            </w:r>
          </w:p>
        </w:tc>
        <w:tc>
          <w:tcPr>
            <w:tcW w:w="0" w:type="auto"/>
            <w:tcBorders>
              <w:top w:val="nil"/>
              <w:left w:val="outset" w:color="auto" w:sz="6" w:space="0"/>
              <w:bottom w:val="outset" w:color="auto" w:sz="6" w:space="0"/>
              <w:right w:val="outset" w:color="auto" w:sz="6" w:space="0"/>
            </w:tcBorders>
          </w:tcPr>
          <w:p w14:paraId="4E88D9F4">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15,5</w:t>
            </w:r>
          </w:p>
        </w:tc>
        <w:tc>
          <w:tcPr>
            <w:tcW w:w="0" w:type="auto"/>
            <w:tcBorders>
              <w:top w:val="nil"/>
              <w:left w:val="outset" w:color="auto" w:sz="6" w:space="0"/>
              <w:bottom w:val="outset" w:color="auto" w:sz="6" w:space="0"/>
              <w:right w:val="outset" w:color="auto" w:sz="6" w:space="0"/>
            </w:tcBorders>
          </w:tcPr>
          <w:p w14:paraId="731E4253">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15,0–17,00</w:t>
            </w:r>
          </w:p>
        </w:tc>
        <w:tc>
          <w:tcPr>
            <w:tcW w:w="0" w:type="auto"/>
            <w:tcBorders>
              <w:top w:val="nil"/>
              <w:left w:val="outset" w:color="auto" w:sz="6" w:space="0"/>
              <w:bottom w:val="outset" w:color="auto" w:sz="6" w:space="0"/>
              <w:right w:val="outset" w:color="auto" w:sz="6" w:space="0"/>
            </w:tcBorders>
          </w:tcPr>
          <w:p w14:paraId="6AE35E70">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0,902</w:t>
            </w:r>
          </w:p>
        </w:tc>
      </w:tr>
      <w:tr w14:paraId="5F3BCD01">
        <w:tblPrEx>
          <w:tblCellMar>
            <w:top w:w="15" w:type="dxa"/>
            <w:left w:w="15" w:type="dxa"/>
            <w:bottom w:w="15" w:type="dxa"/>
            <w:right w:w="15" w:type="dxa"/>
          </w:tblCellMar>
        </w:tblPrEx>
        <w:tc>
          <w:tcPr>
            <w:tcW w:w="0" w:type="auto"/>
            <w:tcBorders>
              <w:top w:val="nil"/>
              <w:left w:val="outset" w:color="auto" w:sz="6" w:space="0"/>
              <w:bottom w:val="outset" w:color="auto" w:sz="6" w:space="0"/>
              <w:right w:val="outset" w:color="auto" w:sz="6" w:space="0"/>
            </w:tcBorders>
          </w:tcPr>
          <w:p w14:paraId="4B1178C8">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Белсендірілген жартылай тромбопластиндік уақыт (БЖТУ) </w:t>
            </w:r>
          </w:p>
        </w:tc>
        <w:tc>
          <w:tcPr>
            <w:tcW w:w="0" w:type="auto"/>
            <w:tcBorders>
              <w:top w:val="nil"/>
              <w:left w:val="outset" w:color="auto" w:sz="6" w:space="0"/>
              <w:bottom w:val="outset" w:color="auto" w:sz="6" w:space="0"/>
              <w:right w:val="outset" w:color="auto" w:sz="6" w:space="0"/>
            </w:tcBorders>
          </w:tcPr>
          <w:p w14:paraId="78537701">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30,0</w:t>
            </w:r>
          </w:p>
        </w:tc>
        <w:tc>
          <w:tcPr>
            <w:tcW w:w="0" w:type="auto"/>
            <w:tcBorders>
              <w:top w:val="nil"/>
              <w:left w:val="outset" w:color="auto" w:sz="6" w:space="0"/>
              <w:bottom w:val="outset" w:color="auto" w:sz="6" w:space="0"/>
              <w:right w:val="outset" w:color="auto" w:sz="6" w:space="0"/>
            </w:tcBorders>
          </w:tcPr>
          <w:p w14:paraId="35096636">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28,0–31,0</w:t>
            </w:r>
          </w:p>
        </w:tc>
        <w:tc>
          <w:tcPr>
            <w:tcW w:w="0" w:type="auto"/>
            <w:tcBorders>
              <w:top w:val="nil"/>
              <w:left w:val="outset" w:color="auto" w:sz="6" w:space="0"/>
              <w:bottom w:val="outset" w:color="auto" w:sz="6" w:space="0"/>
              <w:right w:val="outset" w:color="auto" w:sz="6" w:space="0"/>
            </w:tcBorders>
          </w:tcPr>
          <w:p w14:paraId="44A30168">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30,0</w:t>
            </w:r>
          </w:p>
        </w:tc>
        <w:tc>
          <w:tcPr>
            <w:tcW w:w="0" w:type="auto"/>
            <w:tcBorders>
              <w:top w:val="nil"/>
              <w:left w:val="outset" w:color="auto" w:sz="6" w:space="0"/>
              <w:bottom w:val="outset" w:color="auto" w:sz="6" w:space="0"/>
              <w:right w:val="outset" w:color="auto" w:sz="6" w:space="0"/>
            </w:tcBorders>
          </w:tcPr>
          <w:p w14:paraId="3C79B9D0">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28,0–30,4</w:t>
            </w:r>
          </w:p>
        </w:tc>
        <w:tc>
          <w:tcPr>
            <w:tcW w:w="0" w:type="auto"/>
            <w:tcBorders>
              <w:top w:val="nil"/>
              <w:left w:val="outset" w:color="auto" w:sz="6" w:space="0"/>
              <w:bottom w:val="outset" w:color="auto" w:sz="6" w:space="0"/>
              <w:right w:val="outset" w:color="auto" w:sz="6" w:space="0"/>
            </w:tcBorders>
          </w:tcPr>
          <w:p w14:paraId="24DA41E5">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29,0</w:t>
            </w:r>
          </w:p>
        </w:tc>
        <w:tc>
          <w:tcPr>
            <w:tcW w:w="0" w:type="auto"/>
            <w:tcBorders>
              <w:top w:val="nil"/>
              <w:left w:val="outset" w:color="auto" w:sz="6" w:space="0"/>
              <w:bottom w:val="outset" w:color="auto" w:sz="6" w:space="0"/>
              <w:right w:val="outset" w:color="auto" w:sz="6" w:space="0"/>
            </w:tcBorders>
          </w:tcPr>
          <w:p w14:paraId="641EC628">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28,0–30,0</w:t>
            </w:r>
          </w:p>
        </w:tc>
        <w:tc>
          <w:tcPr>
            <w:tcW w:w="0" w:type="auto"/>
            <w:tcBorders>
              <w:top w:val="nil"/>
              <w:left w:val="outset" w:color="auto" w:sz="6" w:space="0"/>
              <w:bottom w:val="outset" w:color="auto" w:sz="6" w:space="0"/>
              <w:right w:val="outset" w:color="auto" w:sz="6" w:space="0"/>
            </w:tcBorders>
          </w:tcPr>
          <w:p w14:paraId="0BA4CFD1">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29,0</w:t>
            </w:r>
          </w:p>
        </w:tc>
        <w:tc>
          <w:tcPr>
            <w:tcW w:w="0" w:type="auto"/>
            <w:tcBorders>
              <w:top w:val="nil"/>
              <w:left w:val="outset" w:color="auto" w:sz="6" w:space="0"/>
              <w:bottom w:val="outset" w:color="auto" w:sz="6" w:space="0"/>
              <w:right w:val="outset" w:color="auto" w:sz="6" w:space="0"/>
            </w:tcBorders>
          </w:tcPr>
          <w:p w14:paraId="4CC52BE3">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28,0–29,00</w:t>
            </w:r>
          </w:p>
        </w:tc>
        <w:tc>
          <w:tcPr>
            <w:tcW w:w="0" w:type="auto"/>
            <w:tcBorders>
              <w:top w:val="nil"/>
              <w:left w:val="outset" w:color="auto" w:sz="6" w:space="0"/>
              <w:bottom w:val="outset" w:color="auto" w:sz="6" w:space="0"/>
              <w:right w:val="outset" w:color="auto" w:sz="6" w:space="0"/>
            </w:tcBorders>
          </w:tcPr>
          <w:p w14:paraId="43318EB0">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0,330</w:t>
            </w:r>
          </w:p>
        </w:tc>
      </w:tr>
      <w:tr w14:paraId="154D7248">
        <w:tblPrEx>
          <w:tblCellMar>
            <w:top w:w="15" w:type="dxa"/>
            <w:left w:w="15" w:type="dxa"/>
            <w:bottom w:w="15" w:type="dxa"/>
            <w:right w:w="15" w:type="dxa"/>
          </w:tblCellMar>
        </w:tblPrEx>
        <w:tc>
          <w:tcPr>
            <w:tcW w:w="0" w:type="auto"/>
            <w:tcBorders>
              <w:top w:val="nil"/>
              <w:left w:val="outset" w:color="auto" w:sz="6" w:space="0"/>
              <w:bottom w:val="outset" w:color="auto" w:sz="6" w:space="0"/>
              <w:right w:val="outset" w:color="auto" w:sz="6" w:space="0"/>
            </w:tcBorders>
          </w:tcPr>
          <w:p w14:paraId="14347BC1">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Фибрионоген, г/л</w:t>
            </w:r>
          </w:p>
        </w:tc>
        <w:tc>
          <w:tcPr>
            <w:tcW w:w="0" w:type="auto"/>
            <w:tcBorders>
              <w:top w:val="nil"/>
              <w:left w:val="outset" w:color="auto" w:sz="6" w:space="0"/>
              <w:bottom w:val="outset" w:color="auto" w:sz="6" w:space="0"/>
              <w:right w:val="outset" w:color="auto" w:sz="6" w:space="0"/>
            </w:tcBorders>
          </w:tcPr>
          <w:p w14:paraId="3C7C4D2A">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3,86</w:t>
            </w:r>
          </w:p>
        </w:tc>
        <w:tc>
          <w:tcPr>
            <w:tcW w:w="0" w:type="auto"/>
            <w:tcBorders>
              <w:top w:val="nil"/>
              <w:left w:val="outset" w:color="auto" w:sz="6" w:space="0"/>
              <w:bottom w:val="outset" w:color="auto" w:sz="6" w:space="0"/>
              <w:right w:val="outset" w:color="auto" w:sz="6" w:space="0"/>
            </w:tcBorders>
          </w:tcPr>
          <w:p w14:paraId="07A92AFD">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3,79–4,0</w:t>
            </w:r>
          </w:p>
        </w:tc>
        <w:tc>
          <w:tcPr>
            <w:tcW w:w="0" w:type="auto"/>
            <w:tcBorders>
              <w:top w:val="nil"/>
              <w:left w:val="outset" w:color="auto" w:sz="6" w:space="0"/>
              <w:bottom w:val="outset" w:color="auto" w:sz="6" w:space="0"/>
              <w:right w:val="outset" w:color="auto" w:sz="6" w:space="0"/>
            </w:tcBorders>
          </w:tcPr>
          <w:p w14:paraId="7FE2E082">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3,86</w:t>
            </w:r>
          </w:p>
        </w:tc>
        <w:tc>
          <w:tcPr>
            <w:tcW w:w="0" w:type="auto"/>
            <w:tcBorders>
              <w:top w:val="nil"/>
              <w:left w:val="outset" w:color="auto" w:sz="6" w:space="0"/>
              <w:bottom w:val="outset" w:color="auto" w:sz="6" w:space="0"/>
              <w:right w:val="outset" w:color="auto" w:sz="6" w:space="0"/>
            </w:tcBorders>
          </w:tcPr>
          <w:p w14:paraId="3DCBC8B2">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3,74–3,94</w:t>
            </w:r>
          </w:p>
        </w:tc>
        <w:tc>
          <w:tcPr>
            <w:tcW w:w="0" w:type="auto"/>
            <w:tcBorders>
              <w:top w:val="nil"/>
              <w:left w:val="outset" w:color="auto" w:sz="6" w:space="0"/>
              <w:bottom w:val="outset" w:color="auto" w:sz="6" w:space="0"/>
              <w:right w:val="outset" w:color="auto" w:sz="6" w:space="0"/>
            </w:tcBorders>
          </w:tcPr>
          <w:p w14:paraId="4DDF3D0A">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3,76</w:t>
            </w:r>
          </w:p>
        </w:tc>
        <w:tc>
          <w:tcPr>
            <w:tcW w:w="0" w:type="auto"/>
            <w:tcBorders>
              <w:top w:val="nil"/>
              <w:left w:val="outset" w:color="auto" w:sz="6" w:space="0"/>
              <w:bottom w:val="outset" w:color="auto" w:sz="6" w:space="0"/>
              <w:right w:val="outset" w:color="auto" w:sz="6" w:space="0"/>
            </w:tcBorders>
          </w:tcPr>
          <w:p w14:paraId="08358373">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3,62–3,92</w:t>
            </w:r>
          </w:p>
        </w:tc>
        <w:tc>
          <w:tcPr>
            <w:tcW w:w="0" w:type="auto"/>
            <w:tcBorders>
              <w:top w:val="nil"/>
              <w:left w:val="outset" w:color="auto" w:sz="6" w:space="0"/>
              <w:bottom w:val="outset" w:color="auto" w:sz="6" w:space="0"/>
              <w:right w:val="outset" w:color="auto" w:sz="6" w:space="0"/>
            </w:tcBorders>
          </w:tcPr>
          <w:p w14:paraId="08008BF4">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3,92</w:t>
            </w:r>
          </w:p>
        </w:tc>
        <w:tc>
          <w:tcPr>
            <w:tcW w:w="0" w:type="auto"/>
            <w:tcBorders>
              <w:top w:val="nil"/>
              <w:left w:val="outset" w:color="auto" w:sz="6" w:space="0"/>
              <w:bottom w:val="outset" w:color="auto" w:sz="6" w:space="0"/>
              <w:right w:val="outset" w:color="auto" w:sz="6" w:space="0"/>
            </w:tcBorders>
          </w:tcPr>
          <w:p w14:paraId="1805B376">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3,87–4,17</w:t>
            </w:r>
          </w:p>
        </w:tc>
        <w:tc>
          <w:tcPr>
            <w:tcW w:w="0" w:type="auto"/>
            <w:tcBorders>
              <w:top w:val="nil"/>
              <w:left w:val="outset" w:color="auto" w:sz="6" w:space="0"/>
              <w:bottom w:val="outset" w:color="auto" w:sz="6" w:space="0"/>
              <w:right w:val="outset" w:color="auto" w:sz="6" w:space="0"/>
            </w:tcBorders>
          </w:tcPr>
          <w:p w14:paraId="2DC2629A">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0,092</w:t>
            </w:r>
          </w:p>
        </w:tc>
      </w:tr>
      <w:tr w14:paraId="67F9D811">
        <w:tblPrEx>
          <w:tblCellMar>
            <w:top w:w="15" w:type="dxa"/>
            <w:left w:w="15" w:type="dxa"/>
            <w:bottom w:w="15" w:type="dxa"/>
            <w:right w:w="15" w:type="dxa"/>
          </w:tblCellMar>
        </w:tblPrEx>
        <w:tc>
          <w:tcPr>
            <w:tcW w:w="0" w:type="auto"/>
            <w:gridSpan w:val="10"/>
            <w:tcBorders>
              <w:top w:val="nil"/>
              <w:left w:val="outset" w:color="auto" w:sz="6" w:space="0"/>
              <w:bottom w:val="outset" w:color="auto" w:sz="6" w:space="0"/>
              <w:right w:val="outset" w:color="auto" w:sz="6" w:space="0"/>
            </w:tcBorders>
          </w:tcPr>
          <w:p w14:paraId="572600CF">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i/>
                <w:sz w:val="28"/>
                <w:szCs w:val="28"/>
              </w:rPr>
              <w:t xml:space="preserve">*–Краскел–Уоллис критерийі бойынша айырмашылығы, көрсеткіштердің өзгеруінің растығы бойынша р&lt;0.05 </w:t>
            </w:r>
          </w:p>
        </w:tc>
      </w:tr>
    </w:tbl>
    <w:p w14:paraId="76E30054">
      <w:pPr>
        <w:widowControl w:val="0"/>
        <w:autoSpaceDE w:val="0"/>
        <w:autoSpaceDN w:val="0"/>
        <w:spacing w:after="0" w:line="276" w:lineRule="auto"/>
        <w:ind w:firstLine="709"/>
        <w:jc w:val="both"/>
        <w:outlineLvl w:val="0"/>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 xml:space="preserve"> </w:t>
      </w:r>
    </w:p>
    <w:p w14:paraId="7D9095E4">
      <w:pPr>
        <w:widowControl w:val="0"/>
        <w:autoSpaceDE w:val="0"/>
        <w:autoSpaceDN w:val="0"/>
        <w:spacing w:after="0" w:line="276" w:lineRule="auto"/>
        <w:ind w:firstLine="709"/>
        <w:jc w:val="both"/>
        <w:outlineLvl w:val="0"/>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 xml:space="preserve">Бұл өзгеріс статистикалық тұрғыдан маңызды болғанымен (p=0,039), клиникалық мәні айтарлықтай емес және қалыпты шектерде сақталған. </w:t>
      </w:r>
      <w:r>
        <w:rPr>
          <w:rFonts w:ascii="Times New Roman" w:hAnsi="Times New Roman" w:eastAsia="Times New Roman" w:cs="Times New Roman"/>
          <w:bCs/>
          <w:sz w:val="28"/>
          <w:szCs w:val="28"/>
          <w:lang w:val="kk-KZ" w:eastAsia="ru-RU"/>
        </w:rPr>
        <w:t>БЖТУ</w:t>
      </w:r>
      <w:r>
        <w:rPr>
          <w:rFonts w:ascii="Times New Roman" w:hAnsi="Times New Roman" w:eastAsia="Times New Roman" w:cs="Times New Roman"/>
          <w:bCs/>
          <w:sz w:val="28"/>
          <w:szCs w:val="28"/>
          <w:lang w:eastAsia="ru-RU"/>
        </w:rPr>
        <w:t>, фибриноген деңгейлері және ХҚҚ сияқты басқа коагулограмма көрсеткіштерінде топтар арасында елеулі айырмашылықтар анықталған жоқ. Бұл нәтижелер, жүкті әйелдерде қан ұю жүйесінің физиологиялық өзгерістері белгілі бір деңгейде болғанымен, клиникалық тұрғыдан гемостаз жүйесінің жалпы тұрақтылығы сақталатынын көрсетеді.</w:t>
      </w:r>
    </w:p>
    <w:p w14:paraId="2ED343F1">
      <w:pPr>
        <w:widowControl w:val="0"/>
        <w:autoSpaceDE w:val="0"/>
        <w:autoSpaceDN w:val="0"/>
        <w:spacing w:after="0" w:line="276" w:lineRule="auto"/>
        <w:ind w:firstLine="709"/>
        <w:jc w:val="both"/>
        <w:outlineLvl w:val="0"/>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Биохимиялық көрсеткіштер арасында жалпы ақуыз (p=0,002), зәр қышқылы (p=0,019), тікелей билирубин (p=0,026) және АСТ (p=0,002) деңгейлері бойынша бақылау тобымен салыстырғанда статистикалық маңызды айырмашылықтар анықталды (8-кесте). Бұл нәтижелер анемия мен семіздіктің ағзадағы метаболикалық процестерге, әсіресе белок алмасу, зәр қышқылының метаболизмі және бауыр қызметі маркерлеріне тигізетін әсерін дәлелдейді. Бұл өзгерістердің клиникалық маңыздылығы семіздік пен анемияның алдын алу және емдеу стратегияларын жетілдіруге бағытталған болашақ зерттеулерге негіз бола алады.</w:t>
      </w:r>
    </w:p>
    <w:p w14:paraId="79E22E9E">
      <w:pPr>
        <w:widowControl w:val="0"/>
        <w:autoSpaceDE w:val="0"/>
        <w:autoSpaceDN w:val="0"/>
        <w:spacing w:after="0" w:line="276" w:lineRule="auto"/>
        <w:ind w:firstLine="709"/>
        <w:jc w:val="both"/>
        <w:outlineLvl w:val="0"/>
        <w:rPr>
          <w:rFonts w:ascii="Times New Roman" w:hAnsi="Times New Roman" w:eastAsia="Times New Roman" w:cs="Times New Roman"/>
          <w:bCs/>
          <w:i/>
          <w:sz w:val="28"/>
          <w:szCs w:val="28"/>
          <w:lang w:eastAsia="ru-RU"/>
        </w:rPr>
      </w:pPr>
      <w:r>
        <w:rPr>
          <w:rFonts w:ascii="Times New Roman" w:hAnsi="Times New Roman" w:eastAsia="Times New Roman" w:cs="Times New Roman"/>
          <w:bCs/>
          <w:i/>
          <w:sz w:val="28"/>
          <w:szCs w:val="28"/>
          <w:lang w:eastAsia="ru-RU"/>
        </w:rPr>
        <w:t xml:space="preserve"> </w:t>
      </w:r>
    </w:p>
    <w:p w14:paraId="75235AD5">
      <w:pPr>
        <w:widowControl w:val="0"/>
        <w:autoSpaceDE w:val="0"/>
        <w:autoSpaceDN w:val="0"/>
        <w:spacing w:after="0" w:line="276" w:lineRule="auto"/>
        <w:ind w:firstLine="709"/>
        <w:jc w:val="both"/>
        <w:outlineLvl w:val="0"/>
        <w:rPr>
          <w:rFonts w:ascii="Times New Roman" w:hAnsi="Times New Roman" w:eastAsia="Times New Roman" w:cs="Times New Roman"/>
          <w:iCs/>
          <w:color w:val="000000"/>
          <w:sz w:val="28"/>
          <w:szCs w:val="28"/>
          <w:lang w:eastAsia="ru-RU"/>
        </w:rPr>
      </w:pPr>
      <w:r>
        <w:rPr>
          <w:rFonts w:ascii="Times New Roman" w:hAnsi="Times New Roman" w:eastAsia="Times New Roman" w:cs="Times New Roman"/>
          <w:bCs/>
          <w:iCs/>
          <w:sz w:val="28"/>
          <w:szCs w:val="28"/>
          <w:lang w:eastAsia="ru-RU"/>
        </w:rPr>
        <w:t>Кесте – 8</w:t>
      </w:r>
      <w:r>
        <w:rPr>
          <w:rFonts w:ascii="Times New Roman" w:hAnsi="Times New Roman" w:eastAsia="Times New Roman" w:cs="Times New Roman"/>
          <w:iCs/>
          <w:sz w:val="28"/>
          <w:szCs w:val="28"/>
          <w:lang w:eastAsia="ru-RU"/>
        </w:rPr>
        <w:t xml:space="preserve">. Жүкті әйелдердің зертханалық көрсеткіштерін (биохимиялық анализ) салыстырмалы </w:t>
      </w:r>
      <w:r>
        <w:rPr>
          <w:rFonts w:ascii="Times New Roman" w:hAnsi="Times New Roman" w:eastAsia="Times New Roman" w:cs="Times New Roman"/>
          <w:iCs/>
          <w:color w:val="000000"/>
          <w:sz w:val="28"/>
          <w:szCs w:val="28"/>
          <w:lang w:eastAsia="ru-RU"/>
        </w:rPr>
        <w:t>бағалау</w:t>
      </w:r>
    </w:p>
    <w:p w14:paraId="68608BE5">
      <w:pPr>
        <w:widowControl w:val="0"/>
        <w:autoSpaceDE w:val="0"/>
        <w:autoSpaceDN w:val="0"/>
        <w:spacing w:after="0" w:line="276" w:lineRule="auto"/>
        <w:ind w:firstLine="709"/>
        <w:jc w:val="both"/>
        <w:outlineLvl w:val="0"/>
        <w:rPr>
          <w:rFonts w:ascii="Times New Roman" w:hAnsi="Times New Roman" w:eastAsia="Times New Roman" w:cs="Times New Roman"/>
          <w:iCs/>
          <w:color w:val="000000"/>
          <w:sz w:val="28"/>
          <w:szCs w:val="28"/>
          <w:lang w:eastAsia="ru-RU"/>
        </w:rPr>
      </w:pPr>
    </w:p>
    <w:tbl>
      <w:tblPr>
        <w:tblStyle w:val="5"/>
        <w:tblW w:w="0" w:type="auto"/>
        <w:tblInd w:w="0" w:type="dxa"/>
        <w:tblLayout w:type="autofit"/>
        <w:tblCellMar>
          <w:top w:w="15" w:type="dxa"/>
          <w:left w:w="15" w:type="dxa"/>
          <w:bottom w:w="15" w:type="dxa"/>
          <w:right w:w="15" w:type="dxa"/>
        </w:tblCellMar>
      </w:tblPr>
      <w:tblGrid>
        <w:gridCol w:w="1586"/>
        <w:gridCol w:w="459"/>
        <w:gridCol w:w="1010"/>
        <w:gridCol w:w="459"/>
        <w:gridCol w:w="1010"/>
        <w:gridCol w:w="459"/>
        <w:gridCol w:w="1010"/>
        <w:gridCol w:w="581"/>
        <w:gridCol w:w="1133"/>
        <w:gridCol w:w="1678"/>
      </w:tblGrid>
      <w:tr w14:paraId="704B8989">
        <w:tblPrEx>
          <w:tblCellMar>
            <w:top w:w="15" w:type="dxa"/>
            <w:left w:w="15" w:type="dxa"/>
            <w:bottom w:w="15" w:type="dxa"/>
            <w:right w:w="15" w:type="dxa"/>
          </w:tblCellMar>
        </w:tblPrEx>
        <w:tc>
          <w:tcPr>
            <w:tcW w:w="0" w:type="auto"/>
            <w:gridSpan w:val="10"/>
            <w:tcBorders>
              <w:top w:val="outset" w:color="auto" w:sz="6" w:space="0"/>
              <w:left w:val="outset" w:color="auto" w:sz="6" w:space="0"/>
              <w:bottom w:val="outset" w:color="auto" w:sz="6" w:space="0"/>
              <w:right w:val="outset" w:color="auto" w:sz="6" w:space="0"/>
            </w:tcBorders>
          </w:tcPr>
          <w:p w14:paraId="5AE3CD65">
            <w:pPr>
              <w:widowControl w:val="0"/>
              <w:autoSpaceDE w:val="0"/>
              <w:autoSpaceDN w:val="0"/>
              <w:spacing w:after="0" w:line="276" w:lineRule="auto"/>
              <w:jc w:val="both"/>
              <w:outlineLvl w:val="0"/>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Pr>
              <w:t>Биохимиялық анализ</w:t>
            </w:r>
          </w:p>
        </w:tc>
      </w:tr>
      <w:tr w14:paraId="772566EF">
        <w:tblPrEx>
          <w:tblCellMar>
            <w:top w:w="15" w:type="dxa"/>
            <w:left w:w="15" w:type="dxa"/>
            <w:bottom w:w="15" w:type="dxa"/>
            <w:right w:w="15" w:type="dxa"/>
          </w:tblCellMar>
        </w:tblPrEx>
        <w:tc>
          <w:tcPr>
            <w:tcW w:w="0" w:type="auto"/>
            <w:vMerge w:val="restart"/>
            <w:tcBorders>
              <w:top w:val="nil"/>
              <w:left w:val="outset" w:color="auto" w:sz="6" w:space="0"/>
              <w:bottom w:val="outset" w:color="auto" w:sz="6" w:space="0"/>
              <w:right w:val="outset" w:color="auto" w:sz="6" w:space="0"/>
            </w:tcBorders>
          </w:tcPr>
          <w:p w14:paraId="1CE8318D">
            <w:pPr>
              <w:widowControl w:val="0"/>
              <w:autoSpaceDE w:val="0"/>
              <w:autoSpaceDN w:val="0"/>
              <w:spacing w:after="0" w:line="276" w:lineRule="auto"/>
              <w:jc w:val="both"/>
              <w:outlineLvl w:val="0"/>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Pr>
              <w:t>Көрсеткіштер</w:t>
            </w:r>
          </w:p>
        </w:tc>
        <w:tc>
          <w:tcPr>
            <w:tcW w:w="0" w:type="auto"/>
            <w:gridSpan w:val="2"/>
            <w:tcBorders>
              <w:top w:val="outset" w:color="auto" w:sz="6" w:space="0"/>
              <w:left w:val="outset" w:color="auto" w:sz="6" w:space="0"/>
              <w:bottom w:val="outset" w:color="auto" w:sz="6" w:space="0"/>
              <w:right w:val="outset" w:color="auto" w:sz="6" w:space="0"/>
            </w:tcBorders>
          </w:tcPr>
          <w:p w14:paraId="12C1AD8A">
            <w:pPr>
              <w:widowControl w:val="0"/>
              <w:autoSpaceDE w:val="0"/>
              <w:autoSpaceDN w:val="0"/>
              <w:spacing w:after="0" w:line="276" w:lineRule="auto"/>
              <w:jc w:val="both"/>
              <w:outlineLvl w:val="0"/>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Pr>
              <w:t>Бақылау</w:t>
            </w:r>
          </w:p>
          <w:p w14:paraId="2B2B4D44">
            <w:pPr>
              <w:widowControl w:val="0"/>
              <w:autoSpaceDE w:val="0"/>
              <w:autoSpaceDN w:val="0"/>
              <w:spacing w:after="0" w:line="276" w:lineRule="auto"/>
              <w:jc w:val="both"/>
              <w:outlineLvl w:val="0"/>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Pr>
              <w:t>тобы</w:t>
            </w:r>
          </w:p>
        </w:tc>
        <w:tc>
          <w:tcPr>
            <w:tcW w:w="0" w:type="auto"/>
            <w:gridSpan w:val="6"/>
            <w:tcBorders>
              <w:top w:val="outset" w:color="auto" w:sz="6" w:space="0"/>
              <w:left w:val="outset" w:color="auto" w:sz="6" w:space="0"/>
              <w:bottom w:val="outset" w:color="auto" w:sz="6" w:space="0"/>
              <w:right w:val="outset" w:color="auto" w:sz="6" w:space="0"/>
            </w:tcBorders>
          </w:tcPr>
          <w:p w14:paraId="37400424">
            <w:pPr>
              <w:widowControl w:val="0"/>
              <w:autoSpaceDE w:val="0"/>
              <w:autoSpaceDN w:val="0"/>
              <w:spacing w:after="0" w:line="276" w:lineRule="auto"/>
              <w:jc w:val="both"/>
              <w:outlineLvl w:val="0"/>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Pr>
              <w:t>Негізгі топтар</w:t>
            </w:r>
          </w:p>
        </w:tc>
        <w:tc>
          <w:tcPr>
            <w:tcW w:w="0" w:type="auto"/>
            <w:vMerge w:val="restart"/>
            <w:tcBorders>
              <w:top w:val="outset" w:color="auto" w:sz="6" w:space="0"/>
              <w:left w:val="outset" w:color="auto" w:sz="6" w:space="0"/>
              <w:bottom w:val="outset" w:color="auto" w:sz="6" w:space="0"/>
              <w:right w:val="outset" w:color="auto" w:sz="6" w:space="0"/>
            </w:tcBorders>
          </w:tcPr>
          <w:p w14:paraId="2DEBBC22">
            <w:pPr>
              <w:widowControl w:val="0"/>
              <w:autoSpaceDE w:val="0"/>
              <w:autoSpaceDN w:val="0"/>
              <w:spacing w:after="0" w:line="276" w:lineRule="auto"/>
              <w:jc w:val="both"/>
              <w:outlineLvl w:val="0"/>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Pr>
              <w:t xml:space="preserve">Kruskal–Wallis test </w:t>
            </w:r>
          </w:p>
          <w:p w14:paraId="479D4323">
            <w:pPr>
              <w:widowControl w:val="0"/>
              <w:autoSpaceDE w:val="0"/>
              <w:autoSpaceDN w:val="0"/>
              <w:spacing w:after="0" w:line="276" w:lineRule="auto"/>
              <w:jc w:val="both"/>
              <w:outlineLvl w:val="0"/>
              <w:rPr>
                <w:rFonts w:ascii="Times New Roman" w:hAnsi="Times New Roman" w:eastAsia="Times New Roman" w:cs="Times New Roman"/>
                <w:b/>
                <w:bCs/>
                <w:sz w:val="28"/>
                <w:szCs w:val="28"/>
              </w:rPr>
            </w:pPr>
          </w:p>
        </w:tc>
      </w:tr>
      <w:tr w14:paraId="341C11C4">
        <w:tblPrEx>
          <w:tblCellMar>
            <w:top w:w="15" w:type="dxa"/>
            <w:left w:w="15" w:type="dxa"/>
            <w:bottom w:w="15" w:type="dxa"/>
            <w:right w:w="15" w:type="dxa"/>
          </w:tblCellMar>
        </w:tblPrEx>
        <w:tc>
          <w:tcPr>
            <w:tcW w:w="0" w:type="auto"/>
            <w:vMerge w:val="continue"/>
            <w:tcBorders>
              <w:top w:val="nil"/>
              <w:left w:val="outset" w:color="auto" w:sz="6" w:space="0"/>
              <w:bottom w:val="outset" w:color="auto" w:sz="6" w:space="0"/>
              <w:right w:val="outset" w:color="auto" w:sz="6" w:space="0"/>
            </w:tcBorders>
            <w:vAlign w:val="center"/>
          </w:tcPr>
          <w:p w14:paraId="70EADB21">
            <w:pPr>
              <w:spacing w:after="0" w:line="276" w:lineRule="auto"/>
              <w:jc w:val="both"/>
              <w:outlineLvl w:val="0"/>
              <w:rPr>
                <w:rFonts w:ascii="Times New Roman" w:hAnsi="Times New Roman" w:eastAsia="Times New Roman" w:cs="Times New Roman"/>
                <w:b/>
                <w:bCs/>
                <w:sz w:val="28"/>
                <w:szCs w:val="28"/>
              </w:rPr>
            </w:pPr>
          </w:p>
        </w:tc>
        <w:tc>
          <w:tcPr>
            <w:tcW w:w="0" w:type="auto"/>
            <w:gridSpan w:val="2"/>
            <w:tcBorders>
              <w:top w:val="nil"/>
              <w:left w:val="outset" w:color="auto" w:sz="6" w:space="0"/>
              <w:bottom w:val="outset" w:color="auto" w:sz="6" w:space="0"/>
              <w:right w:val="outset" w:color="auto" w:sz="6" w:space="0"/>
            </w:tcBorders>
          </w:tcPr>
          <w:p w14:paraId="7CE56803">
            <w:pPr>
              <w:widowControl w:val="0"/>
              <w:autoSpaceDE w:val="0"/>
              <w:autoSpaceDN w:val="0"/>
              <w:spacing w:after="0" w:line="276" w:lineRule="auto"/>
              <w:jc w:val="both"/>
              <w:outlineLvl w:val="0"/>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Pr>
              <w:t>1 топ</w:t>
            </w:r>
          </w:p>
          <w:p w14:paraId="07D43201">
            <w:pPr>
              <w:widowControl w:val="0"/>
              <w:autoSpaceDE w:val="0"/>
              <w:autoSpaceDN w:val="0"/>
              <w:spacing w:after="0" w:line="276" w:lineRule="auto"/>
              <w:jc w:val="both"/>
              <w:outlineLvl w:val="0"/>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Pr>
              <w:t>(n=43)</w:t>
            </w:r>
          </w:p>
        </w:tc>
        <w:tc>
          <w:tcPr>
            <w:tcW w:w="0" w:type="auto"/>
            <w:gridSpan w:val="2"/>
            <w:tcBorders>
              <w:top w:val="nil"/>
              <w:left w:val="outset" w:color="auto" w:sz="6" w:space="0"/>
              <w:bottom w:val="outset" w:color="auto" w:sz="6" w:space="0"/>
              <w:right w:val="outset" w:color="auto" w:sz="6" w:space="0"/>
            </w:tcBorders>
          </w:tcPr>
          <w:p w14:paraId="728F0E07">
            <w:pPr>
              <w:widowControl w:val="0"/>
              <w:autoSpaceDE w:val="0"/>
              <w:autoSpaceDN w:val="0"/>
              <w:spacing w:after="0" w:line="276" w:lineRule="auto"/>
              <w:jc w:val="both"/>
              <w:outlineLvl w:val="0"/>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Pr>
              <w:t>2 топ</w:t>
            </w:r>
          </w:p>
          <w:p w14:paraId="751A0F30">
            <w:pPr>
              <w:widowControl w:val="0"/>
              <w:autoSpaceDE w:val="0"/>
              <w:autoSpaceDN w:val="0"/>
              <w:spacing w:after="0" w:line="276" w:lineRule="auto"/>
              <w:jc w:val="both"/>
              <w:outlineLvl w:val="0"/>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Pr>
              <w:t>(n=40)</w:t>
            </w:r>
          </w:p>
        </w:tc>
        <w:tc>
          <w:tcPr>
            <w:tcW w:w="0" w:type="auto"/>
            <w:gridSpan w:val="2"/>
            <w:tcBorders>
              <w:top w:val="nil"/>
              <w:left w:val="outset" w:color="auto" w:sz="6" w:space="0"/>
              <w:bottom w:val="outset" w:color="auto" w:sz="6" w:space="0"/>
              <w:right w:val="outset" w:color="auto" w:sz="6" w:space="0"/>
            </w:tcBorders>
          </w:tcPr>
          <w:p w14:paraId="03C58CF7">
            <w:pPr>
              <w:widowControl w:val="0"/>
              <w:autoSpaceDE w:val="0"/>
              <w:autoSpaceDN w:val="0"/>
              <w:spacing w:after="0" w:line="276" w:lineRule="auto"/>
              <w:jc w:val="both"/>
              <w:outlineLvl w:val="0"/>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Pr>
              <w:t>3 топ</w:t>
            </w:r>
          </w:p>
          <w:p w14:paraId="4CBDA231">
            <w:pPr>
              <w:widowControl w:val="0"/>
              <w:autoSpaceDE w:val="0"/>
              <w:autoSpaceDN w:val="0"/>
              <w:spacing w:after="0" w:line="276" w:lineRule="auto"/>
              <w:jc w:val="both"/>
              <w:outlineLvl w:val="0"/>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Pr>
              <w:t>(n=48)</w:t>
            </w:r>
          </w:p>
        </w:tc>
        <w:tc>
          <w:tcPr>
            <w:tcW w:w="0" w:type="auto"/>
            <w:gridSpan w:val="2"/>
            <w:tcBorders>
              <w:top w:val="outset" w:color="auto" w:sz="6" w:space="0"/>
              <w:left w:val="outset" w:color="auto" w:sz="6" w:space="0"/>
              <w:bottom w:val="outset" w:color="auto" w:sz="6" w:space="0"/>
              <w:right w:val="outset" w:color="auto" w:sz="6" w:space="0"/>
            </w:tcBorders>
          </w:tcPr>
          <w:p w14:paraId="22041010">
            <w:pPr>
              <w:widowControl w:val="0"/>
              <w:autoSpaceDE w:val="0"/>
              <w:autoSpaceDN w:val="0"/>
              <w:spacing w:after="0" w:line="276" w:lineRule="auto"/>
              <w:jc w:val="both"/>
              <w:outlineLvl w:val="0"/>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Pr>
              <w:t>4 топ</w:t>
            </w:r>
          </w:p>
          <w:p w14:paraId="10E8FC9F">
            <w:pPr>
              <w:widowControl w:val="0"/>
              <w:autoSpaceDE w:val="0"/>
              <w:autoSpaceDN w:val="0"/>
              <w:spacing w:after="0" w:line="276" w:lineRule="auto"/>
              <w:jc w:val="both"/>
              <w:outlineLvl w:val="0"/>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Pr>
              <w:t>(n=36)</w:t>
            </w: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55302C30">
            <w:pPr>
              <w:spacing w:after="0" w:line="276" w:lineRule="auto"/>
              <w:jc w:val="both"/>
              <w:outlineLvl w:val="0"/>
              <w:rPr>
                <w:rFonts w:ascii="Times New Roman" w:hAnsi="Times New Roman" w:eastAsia="Times New Roman" w:cs="Times New Roman"/>
                <w:b/>
                <w:bCs/>
                <w:sz w:val="28"/>
                <w:szCs w:val="28"/>
              </w:rPr>
            </w:pPr>
          </w:p>
        </w:tc>
      </w:tr>
      <w:tr w14:paraId="7E272E1A">
        <w:tblPrEx>
          <w:tblCellMar>
            <w:top w:w="15" w:type="dxa"/>
            <w:left w:w="15" w:type="dxa"/>
            <w:bottom w:w="15" w:type="dxa"/>
            <w:right w:w="15" w:type="dxa"/>
          </w:tblCellMar>
        </w:tblPrEx>
        <w:tc>
          <w:tcPr>
            <w:tcW w:w="0" w:type="auto"/>
            <w:tcBorders>
              <w:top w:val="nil"/>
              <w:left w:val="outset" w:color="auto" w:sz="6" w:space="0"/>
              <w:bottom w:val="outset" w:color="auto" w:sz="6" w:space="0"/>
              <w:right w:val="outset" w:color="auto" w:sz="6" w:space="0"/>
            </w:tcBorders>
          </w:tcPr>
          <w:p w14:paraId="33E26E5C">
            <w:pPr>
              <w:widowControl w:val="0"/>
              <w:autoSpaceDE w:val="0"/>
              <w:autoSpaceDN w:val="0"/>
              <w:spacing w:after="0" w:line="276" w:lineRule="auto"/>
              <w:jc w:val="both"/>
              <w:outlineLvl w:val="0"/>
              <w:rPr>
                <w:rFonts w:ascii="Times New Roman" w:hAnsi="Times New Roman" w:eastAsia="Times New Roman" w:cs="Times New Roman"/>
                <w:sz w:val="28"/>
                <w:szCs w:val="28"/>
              </w:rPr>
            </w:pPr>
          </w:p>
        </w:tc>
        <w:tc>
          <w:tcPr>
            <w:tcW w:w="0" w:type="auto"/>
            <w:tcBorders>
              <w:top w:val="nil"/>
              <w:left w:val="outset" w:color="auto" w:sz="6" w:space="0"/>
              <w:bottom w:val="outset" w:color="auto" w:sz="6" w:space="0"/>
              <w:right w:val="outset" w:color="auto" w:sz="6" w:space="0"/>
            </w:tcBorders>
          </w:tcPr>
          <w:p w14:paraId="10B09751">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Ме</w:t>
            </w:r>
          </w:p>
        </w:tc>
        <w:tc>
          <w:tcPr>
            <w:tcW w:w="0" w:type="auto"/>
            <w:tcBorders>
              <w:top w:val="nil"/>
              <w:left w:val="outset" w:color="auto" w:sz="6" w:space="0"/>
              <w:bottom w:val="outset" w:color="auto" w:sz="6" w:space="0"/>
              <w:right w:val="outset" w:color="auto" w:sz="6" w:space="0"/>
            </w:tcBorders>
          </w:tcPr>
          <w:p w14:paraId="61A9B45F">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Q25– Q75</w:t>
            </w:r>
          </w:p>
        </w:tc>
        <w:tc>
          <w:tcPr>
            <w:tcW w:w="0" w:type="auto"/>
            <w:tcBorders>
              <w:top w:val="nil"/>
              <w:left w:val="outset" w:color="auto" w:sz="6" w:space="0"/>
              <w:bottom w:val="outset" w:color="auto" w:sz="6" w:space="0"/>
              <w:right w:val="outset" w:color="auto" w:sz="6" w:space="0"/>
            </w:tcBorders>
          </w:tcPr>
          <w:p w14:paraId="46799852">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Ме</w:t>
            </w:r>
          </w:p>
        </w:tc>
        <w:tc>
          <w:tcPr>
            <w:tcW w:w="0" w:type="auto"/>
            <w:tcBorders>
              <w:top w:val="nil"/>
              <w:left w:val="outset" w:color="auto" w:sz="6" w:space="0"/>
              <w:bottom w:val="outset" w:color="auto" w:sz="6" w:space="0"/>
              <w:right w:val="outset" w:color="auto" w:sz="6" w:space="0"/>
            </w:tcBorders>
          </w:tcPr>
          <w:p w14:paraId="41D56CA3">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Q25– Q75</w:t>
            </w:r>
          </w:p>
        </w:tc>
        <w:tc>
          <w:tcPr>
            <w:tcW w:w="0" w:type="auto"/>
            <w:tcBorders>
              <w:top w:val="nil"/>
              <w:left w:val="outset" w:color="auto" w:sz="6" w:space="0"/>
              <w:bottom w:val="outset" w:color="auto" w:sz="6" w:space="0"/>
              <w:right w:val="outset" w:color="auto" w:sz="6" w:space="0"/>
            </w:tcBorders>
          </w:tcPr>
          <w:p w14:paraId="33B583CE">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Ме</w:t>
            </w:r>
          </w:p>
        </w:tc>
        <w:tc>
          <w:tcPr>
            <w:tcW w:w="0" w:type="auto"/>
            <w:tcBorders>
              <w:top w:val="outset" w:color="auto" w:sz="6" w:space="0"/>
              <w:left w:val="outset" w:color="auto" w:sz="6" w:space="0"/>
              <w:bottom w:val="outset" w:color="auto" w:sz="6" w:space="0"/>
              <w:right w:val="outset" w:color="auto" w:sz="6" w:space="0"/>
            </w:tcBorders>
          </w:tcPr>
          <w:p w14:paraId="558E4077">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Q25– Q75</w:t>
            </w:r>
          </w:p>
        </w:tc>
        <w:tc>
          <w:tcPr>
            <w:tcW w:w="0" w:type="auto"/>
            <w:tcBorders>
              <w:top w:val="outset" w:color="auto" w:sz="6" w:space="0"/>
              <w:left w:val="outset" w:color="auto" w:sz="6" w:space="0"/>
              <w:bottom w:val="outset" w:color="auto" w:sz="6" w:space="0"/>
              <w:right w:val="outset" w:color="auto" w:sz="6" w:space="0"/>
            </w:tcBorders>
          </w:tcPr>
          <w:p w14:paraId="4D4BEBC6">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Ме</w:t>
            </w:r>
          </w:p>
        </w:tc>
        <w:tc>
          <w:tcPr>
            <w:tcW w:w="0" w:type="auto"/>
            <w:tcBorders>
              <w:top w:val="outset" w:color="auto" w:sz="6" w:space="0"/>
              <w:left w:val="outset" w:color="auto" w:sz="6" w:space="0"/>
              <w:bottom w:val="outset" w:color="auto" w:sz="6" w:space="0"/>
              <w:right w:val="outset" w:color="auto" w:sz="6" w:space="0"/>
            </w:tcBorders>
          </w:tcPr>
          <w:p w14:paraId="74A0DCE6">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Q25– Q75</w:t>
            </w:r>
          </w:p>
        </w:tc>
        <w:tc>
          <w:tcPr>
            <w:tcW w:w="0" w:type="auto"/>
            <w:tcBorders>
              <w:top w:val="outset" w:color="auto" w:sz="6" w:space="0"/>
              <w:left w:val="outset" w:color="auto" w:sz="6" w:space="0"/>
              <w:bottom w:val="outset" w:color="auto" w:sz="6" w:space="0"/>
              <w:right w:val="outset" w:color="auto" w:sz="6" w:space="0"/>
            </w:tcBorders>
          </w:tcPr>
          <w:p w14:paraId="5A4758D1">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b/>
                <w:bCs/>
                <w:sz w:val="28"/>
                <w:szCs w:val="28"/>
              </w:rPr>
              <w:t>p &lt; 0.05*</w:t>
            </w:r>
          </w:p>
        </w:tc>
      </w:tr>
      <w:tr w14:paraId="2F82C765">
        <w:tblPrEx>
          <w:tblCellMar>
            <w:top w:w="15" w:type="dxa"/>
            <w:left w:w="15" w:type="dxa"/>
            <w:bottom w:w="15" w:type="dxa"/>
            <w:right w:w="15" w:type="dxa"/>
          </w:tblCellMar>
        </w:tblPrEx>
        <w:tc>
          <w:tcPr>
            <w:tcW w:w="0" w:type="auto"/>
            <w:tcBorders>
              <w:top w:val="nil"/>
              <w:left w:val="outset" w:color="auto" w:sz="6" w:space="0"/>
              <w:bottom w:val="outset" w:color="auto" w:sz="6" w:space="0"/>
              <w:right w:val="outset" w:color="auto" w:sz="6" w:space="0"/>
            </w:tcBorders>
          </w:tcPr>
          <w:p w14:paraId="40209607">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Жалпы ақуыз</w:t>
            </w:r>
          </w:p>
        </w:tc>
        <w:tc>
          <w:tcPr>
            <w:tcW w:w="0" w:type="auto"/>
            <w:tcBorders>
              <w:top w:val="nil"/>
              <w:left w:val="outset" w:color="auto" w:sz="6" w:space="0"/>
              <w:bottom w:val="outset" w:color="auto" w:sz="6" w:space="0"/>
              <w:right w:val="outset" w:color="auto" w:sz="6" w:space="0"/>
            </w:tcBorders>
          </w:tcPr>
          <w:p w14:paraId="3D286AAD">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64,0</w:t>
            </w:r>
          </w:p>
        </w:tc>
        <w:tc>
          <w:tcPr>
            <w:tcW w:w="0" w:type="auto"/>
            <w:tcBorders>
              <w:top w:val="nil"/>
              <w:left w:val="outset" w:color="auto" w:sz="6" w:space="0"/>
              <w:bottom w:val="outset" w:color="auto" w:sz="6" w:space="0"/>
              <w:right w:val="outset" w:color="auto" w:sz="6" w:space="0"/>
            </w:tcBorders>
          </w:tcPr>
          <w:p w14:paraId="52914A69">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62,0–68,0</w:t>
            </w:r>
          </w:p>
        </w:tc>
        <w:tc>
          <w:tcPr>
            <w:tcW w:w="0" w:type="auto"/>
            <w:tcBorders>
              <w:top w:val="nil"/>
              <w:left w:val="outset" w:color="auto" w:sz="6" w:space="0"/>
              <w:bottom w:val="outset" w:color="auto" w:sz="6" w:space="0"/>
              <w:right w:val="outset" w:color="auto" w:sz="6" w:space="0"/>
            </w:tcBorders>
          </w:tcPr>
          <w:p w14:paraId="2AE076A3">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63,5</w:t>
            </w:r>
          </w:p>
        </w:tc>
        <w:tc>
          <w:tcPr>
            <w:tcW w:w="0" w:type="auto"/>
            <w:tcBorders>
              <w:top w:val="nil"/>
              <w:left w:val="outset" w:color="auto" w:sz="6" w:space="0"/>
              <w:bottom w:val="outset" w:color="auto" w:sz="6" w:space="0"/>
              <w:right w:val="outset" w:color="auto" w:sz="6" w:space="0"/>
            </w:tcBorders>
          </w:tcPr>
          <w:p w14:paraId="0034128D">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61,0–66,0</w:t>
            </w:r>
          </w:p>
        </w:tc>
        <w:tc>
          <w:tcPr>
            <w:tcW w:w="0" w:type="auto"/>
            <w:tcBorders>
              <w:top w:val="nil"/>
              <w:left w:val="outset" w:color="auto" w:sz="6" w:space="0"/>
              <w:bottom w:val="outset" w:color="auto" w:sz="6" w:space="0"/>
              <w:right w:val="outset" w:color="auto" w:sz="6" w:space="0"/>
            </w:tcBorders>
          </w:tcPr>
          <w:p w14:paraId="68B85BB3">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60,0</w:t>
            </w:r>
          </w:p>
        </w:tc>
        <w:tc>
          <w:tcPr>
            <w:tcW w:w="0" w:type="auto"/>
            <w:tcBorders>
              <w:top w:val="nil"/>
              <w:left w:val="outset" w:color="auto" w:sz="6" w:space="0"/>
              <w:bottom w:val="outset" w:color="auto" w:sz="6" w:space="0"/>
              <w:right w:val="outset" w:color="auto" w:sz="6" w:space="0"/>
            </w:tcBorders>
          </w:tcPr>
          <w:p w14:paraId="03A2CFE1">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59,0–63,0</w:t>
            </w:r>
          </w:p>
        </w:tc>
        <w:tc>
          <w:tcPr>
            <w:tcW w:w="0" w:type="auto"/>
            <w:tcBorders>
              <w:top w:val="nil"/>
              <w:left w:val="outset" w:color="auto" w:sz="6" w:space="0"/>
              <w:bottom w:val="outset" w:color="auto" w:sz="6" w:space="0"/>
              <w:right w:val="outset" w:color="auto" w:sz="6" w:space="0"/>
            </w:tcBorders>
          </w:tcPr>
          <w:p w14:paraId="180D912E">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60,0</w:t>
            </w:r>
          </w:p>
        </w:tc>
        <w:tc>
          <w:tcPr>
            <w:tcW w:w="0" w:type="auto"/>
            <w:tcBorders>
              <w:top w:val="nil"/>
              <w:left w:val="outset" w:color="auto" w:sz="6" w:space="0"/>
              <w:bottom w:val="outset" w:color="auto" w:sz="6" w:space="0"/>
              <w:right w:val="outset" w:color="auto" w:sz="6" w:space="0"/>
            </w:tcBorders>
          </w:tcPr>
          <w:p w14:paraId="5B874C27">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58,0–63,00</w:t>
            </w:r>
          </w:p>
        </w:tc>
        <w:tc>
          <w:tcPr>
            <w:tcW w:w="0" w:type="auto"/>
            <w:tcBorders>
              <w:top w:val="nil"/>
              <w:left w:val="outset" w:color="auto" w:sz="6" w:space="0"/>
              <w:bottom w:val="outset" w:color="auto" w:sz="6" w:space="0"/>
              <w:right w:val="outset" w:color="auto" w:sz="6" w:space="0"/>
            </w:tcBorders>
          </w:tcPr>
          <w:p w14:paraId="70816814">
            <w:pPr>
              <w:widowControl w:val="0"/>
              <w:autoSpaceDE w:val="0"/>
              <w:autoSpaceDN w:val="0"/>
              <w:spacing w:after="0" w:line="276" w:lineRule="auto"/>
              <w:jc w:val="both"/>
              <w:outlineLvl w:val="0"/>
              <w:rPr>
                <w:rFonts w:ascii="Times New Roman" w:hAnsi="Times New Roman" w:eastAsia="Times New Roman" w:cs="Times New Roman"/>
                <w:b/>
                <w:sz w:val="28"/>
                <w:szCs w:val="28"/>
              </w:rPr>
            </w:pPr>
            <w:r>
              <w:rPr>
                <w:rFonts w:ascii="Times New Roman" w:hAnsi="Times New Roman" w:eastAsia="Times New Roman" w:cs="Times New Roman"/>
                <w:b/>
                <w:sz w:val="28"/>
                <w:szCs w:val="28"/>
              </w:rPr>
              <w:t>0,002</w:t>
            </w:r>
            <w:r>
              <w:rPr>
                <w:rFonts w:ascii="Times New Roman" w:hAnsi="Times New Roman" w:eastAsia="Times New Roman" w:cs="Times New Roman"/>
                <w:b/>
                <w:i/>
                <w:sz w:val="28"/>
                <w:szCs w:val="28"/>
              </w:rPr>
              <w:t>*</w:t>
            </w:r>
          </w:p>
        </w:tc>
      </w:tr>
      <w:tr w14:paraId="23C0DD51">
        <w:tblPrEx>
          <w:tblCellMar>
            <w:top w:w="15" w:type="dxa"/>
            <w:left w:w="15" w:type="dxa"/>
            <w:bottom w:w="15" w:type="dxa"/>
            <w:right w:w="15" w:type="dxa"/>
          </w:tblCellMar>
        </w:tblPrEx>
        <w:tc>
          <w:tcPr>
            <w:tcW w:w="0" w:type="auto"/>
            <w:tcBorders>
              <w:top w:val="nil"/>
              <w:left w:val="outset" w:color="auto" w:sz="6" w:space="0"/>
              <w:bottom w:val="outset" w:color="auto" w:sz="6" w:space="0"/>
              <w:right w:val="outset" w:color="auto" w:sz="6" w:space="0"/>
            </w:tcBorders>
          </w:tcPr>
          <w:p w14:paraId="4728388B">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Зәр қышқылы</w:t>
            </w:r>
          </w:p>
        </w:tc>
        <w:tc>
          <w:tcPr>
            <w:tcW w:w="0" w:type="auto"/>
            <w:tcBorders>
              <w:top w:val="nil"/>
              <w:left w:val="outset" w:color="auto" w:sz="6" w:space="0"/>
              <w:bottom w:val="outset" w:color="auto" w:sz="6" w:space="0"/>
              <w:right w:val="outset" w:color="auto" w:sz="6" w:space="0"/>
            </w:tcBorders>
          </w:tcPr>
          <w:p w14:paraId="6D0E17F1">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3,8</w:t>
            </w:r>
          </w:p>
        </w:tc>
        <w:tc>
          <w:tcPr>
            <w:tcW w:w="0" w:type="auto"/>
            <w:tcBorders>
              <w:top w:val="nil"/>
              <w:left w:val="outset" w:color="auto" w:sz="6" w:space="0"/>
              <w:bottom w:val="outset" w:color="auto" w:sz="6" w:space="0"/>
              <w:right w:val="outset" w:color="auto" w:sz="6" w:space="0"/>
            </w:tcBorders>
          </w:tcPr>
          <w:p w14:paraId="50B96486">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3,5–4,3</w:t>
            </w:r>
          </w:p>
        </w:tc>
        <w:tc>
          <w:tcPr>
            <w:tcW w:w="0" w:type="auto"/>
            <w:tcBorders>
              <w:top w:val="nil"/>
              <w:left w:val="outset" w:color="auto" w:sz="6" w:space="0"/>
              <w:bottom w:val="outset" w:color="auto" w:sz="6" w:space="0"/>
              <w:right w:val="outset" w:color="auto" w:sz="6" w:space="0"/>
            </w:tcBorders>
          </w:tcPr>
          <w:p w14:paraId="735238C6">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3,4</w:t>
            </w:r>
          </w:p>
        </w:tc>
        <w:tc>
          <w:tcPr>
            <w:tcW w:w="0" w:type="auto"/>
            <w:tcBorders>
              <w:top w:val="nil"/>
              <w:left w:val="outset" w:color="auto" w:sz="6" w:space="0"/>
              <w:bottom w:val="outset" w:color="auto" w:sz="6" w:space="0"/>
              <w:right w:val="outset" w:color="auto" w:sz="6" w:space="0"/>
            </w:tcBorders>
          </w:tcPr>
          <w:p w14:paraId="34590ACD">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3,2–4,1</w:t>
            </w:r>
          </w:p>
        </w:tc>
        <w:tc>
          <w:tcPr>
            <w:tcW w:w="0" w:type="auto"/>
            <w:tcBorders>
              <w:top w:val="nil"/>
              <w:left w:val="outset" w:color="auto" w:sz="6" w:space="0"/>
              <w:bottom w:val="outset" w:color="auto" w:sz="6" w:space="0"/>
              <w:right w:val="outset" w:color="auto" w:sz="6" w:space="0"/>
            </w:tcBorders>
          </w:tcPr>
          <w:p w14:paraId="57003283">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3,6</w:t>
            </w:r>
          </w:p>
        </w:tc>
        <w:tc>
          <w:tcPr>
            <w:tcW w:w="0" w:type="auto"/>
            <w:tcBorders>
              <w:top w:val="nil"/>
              <w:left w:val="outset" w:color="auto" w:sz="6" w:space="0"/>
              <w:bottom w:val="outset" w:color="auto" w:sz="6" w:space="0"/>
              <w:right w:val="outset" w:color="auto" w:sz="6" w:space="0"/>
            </w:tcBorders>
          </w:tcPr>
          <w:p w14:paraId="3D9EB5D7">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3,3–3,9</w:t>
            </w:r>
          </w:p>
        </w:tc>
        <w:tc>
          <w:tcPr>
            <w:tcW w:w="0" w:type="auto"/>
            <w:tcBorders>
              <w:top w:val="nil"/>
              <w:left w:val="outset" w:color="auto" w:sz="6" w:space="0"/>
              <w:bottom w:val="outset" w:color="auto" w:sz="6" w:space="0"/>
              <w:right w:val="outset" w:color="auto" w:sz="6" w:space="0"/>
            </w:tcBorders>
          </w:tcPr>
          <w:p w14:paraId="0CB2C250">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3,85</w:t>
            </w:r>
          </w:p>
        </w:tc>
        <w:tc>
          <w:tcPr>
            <w:tcW w:w="0" w:type="auto"/>
            <w:tcBorders>
              <w:top w:val="nil"/>
              <w:left w:val="outset" w:color="auto" w:sz="6" w:space="0"/>
              <w:bottom w:val="outset" w:color="auto" w:sz="6" w:space="0"/>
              <w:right w:val="outset" w:color="auto" w:sz="6" w:space="0"/>
            </w:tcBorders>
          </w:tcPr>
          <w:p w14:paraId="40D53C4C">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3,7–4,30</w:t>
            </w:r>
          </w:p>
        </w:tc>
        <w:tc>
          <w:tcPr>
            <w:tcW w:w="0" w:type="auto"/>
            <w:tcBorders>
              <w:top w:val="nil"/>
              <w:left w:val="outset" w:color="auto" w:sz="6" w:space="0"/>
              <w:bottom w:val="outset" w:color="auto" w:sz="6" w:space="0"/>
              <w:right w:val="outset" w:color="auto" w:sz="6" w:space="0"/>
            </w:tcBorders>
          </w:tcPr>
          <w:p w14:paraId="4F770327">
            <w:pPr>
              <w:widowControl w:val="0"/>
              <w:autoSpaceDE w:val="0"/>
              <w:autoSpaceDN w:val="0"/>
              <w:spacing w:after="0" w:line="276" w:lineRule="auto"/>
              <w:jc w:val="both"/>
              <w:outlineLvl w:val="0"/>
              <w:rPr>
                <w:rFonts w:ascii="Times New Roman" w:hAnsi="Times New Roman" w:eastAsia="Times New Roman" w:cs="Times New Roman"/>
                <w:b/>
                <w:sz w:val="28"/>
                <w:szCs w:val="28"/>
              </w:rPr>
            </w:pPr>
            <w:r>
              <w:rPr>
                <w:rFonts w:ascii="Times New Roman" w:hAnsi="Times New Roman" w:eastAsia="Times New Roman" w:cs="Times New Roman"/>
                <w:b/>
                <w:sz w:val="28"/>
                <w:szCs w:val="28"/>
              </w:rPr>
              <w:t>0,019</w:t>
            </w:r>
            <w:r>
              <w:rPr>
                <w:rFonts w:ascii="Times New Roman" w:hAnsi="Times New Roman" w:eastAsia="Times New Roman" w:cs="Times New Roman"/>
                <w:b/>
                <w:i/>
                <w:sz w:val="28"/>
                <w:szCs w:val="28"/>
              </w:rPr>
              <w:t>*</w:t>
            </w:r>
          </w:p>
        </w:tc>
      </w:tr>
      <w:tr w14:paraId="15B3688C">
        <w:tblPrEx>
          <w:tblCellMar>
            <w:top w:w="15" w:type="dxa"/>
            <w:left w:w="15" w:type="dxa"/>
            <w:bottom w:w="15" w:type="dxa"/>
            <w:right w:w="15" w:type="dxa"/>
          </w:tblCellMar>
        </w:tblPrEx>
        <w:tc>
          <w:tcPr>
            <w:tcW w:w="0" w:type="auto"/>
            <w:tcBorders>
              <w:top w:val="nil"/>
              <w:left w:val="outset" w:color="auto" w:sz="6" w:space="0"/>
              <w:bottom w:val="outset" w:color="auto" w:sz="6" w:space="0"/>
              <w:right w:val="outset" w:color="auto" w:sz="6" w:space="0"/>
            </w:tcBorders>
          </w:tcPr>
          <w:p w14:paraId="38F7205A">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Креатинин</w:t>
            </w:r>
          </w:p>
        </w:tc>
        <w:tc>
          <w:tcPr>
            <w:tcW w:w="0" w:type="auto"/>
            <w:tcBorders>
              <w:top w:val="nil"/>
              <w:left w:val="outset" w:color="auto" w:sz="6" w:space="0"/>
              <w:bottom w:val="outset" w:color="auto" w:sz="6" w:space="0"/>
              <w:right w:val="outset" w:color="auto" w:sz="6" w:space="0"/>
            </w:tcBorders>
          </w:tcPr>
          <w:p w14:paraId="7BA0F1CF">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61,6</w:t>
            </w:r>
          </w:p>
        </w:tc>
        <w:tc>
          <w:tcPr>
            <w:tcW w:w="0" w:type="auto"/>
            <w:tcBorders>
              <w:top w:val="nil"/>
              <w:left w:val="outset" w:color="auto" w:sz="6" w:space="0"/>
              <w:bottom w:val="outset" w:color="auto" w:sz="6" w:space="0"/>
              <w:right w:val="outset" w:color="auto" w:sz="6" w:space="0"/>
            </w:tcBorders>
          </w:tcPr>
          <w:p w14:paraId="68699F96">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57,2–69,8</w:t>
            </w:r>
          </w:p>
        </w:tc>
        <w:tc>
          <w:tcPr>
            <w:tcW w:w="0" w:type="auto"/>
            <w:tcBorders>
              <w:top w:val="nil"/>
              <w:left w:val="outset" w:color="auto" w:sz="6" w:space="0"/>
              <w:bottom w:val="outset" w:color="auto" w:sz="6" w:space="0"/>
              <w:right w:val="outset" w:color="auto" w:sz="6" w:space="0"/>
            </w:tcBorders>
          </w:tcPr>
          <w:p w14:paraId="371C3467">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56,5</w:t>
            </w:r>
          </w:p>
        </w:tc>
        <w:tc>
          <w:tcPr>
            <w:tcW w:w="0" w:type="auto"/>
            <w:tcBorders>
              <w:top w:val="nil"/>
              <w:left w:val="outset" w:color="auto" w:sz="6" w:space="0"/>
              <w:bottom w:val="outset" w:color="auto" w:sz="6" w:space="0"/>
              <w:right w:val="outset" w:color="auto" w:sz="6" w:space="0"/>
            </w:tcBorders>
          </w:tcPr>
          <w:p w14:paraId="5013375F">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51,1–60,6</w:t>
            </w:r>
          </w:p>
        </w:tc>
        <w:tc>
          <w:tcPr>
            <w:tcW w:w="0" w:type="auto"/>
            <w:tcBorders>
              <w:top w:val="nil"/>
              <w:left w:val="outset" w:color="auto" w:sz="6" w:space="0"/>
              <w:bottom w:val="outset" w:color="auto" w:sz="6" w:space="0"/>
              <w:right w:val="outset" w:color="auto" w:sz="6" w:space="0"/>
            </w:tcBorders>
          </w:tcPr>
          <w:p w14:paraId="0C401D31">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58,7</w:t>
            </w:r>
          </w:p>
        </w:tc>
        <w:tc>
          <w:tcPr>
            <w:tcW w:w="0" w:type="auto"/>
            <w:tcBorders>
              <w:top w:val="nil"/>
              <w:left w:val="outset" w:color="auto" w:sz="6" w:space="0"/>
              <w:bottom w:val="outset" w:color="auto" w:sz="6" w:space="0"/>
              <w:right w:val="outset" w:color="auto" w:sz="6" w:space="0"/>
            </w:tcBorders>
          </w:tcPr>
          <w:p w14:paraId="12ACA6F0">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56,6–65,5</w:t>
            </w:r>
          </w:p>
        </w:tc>
        <w:tc>
          <w:tcPr>
            <w:tcW w:w="0" w:type="auto"/>
            <w:tcBorders>
              <w:top w:val="nil"/>
              <w:left w:val="outset" w:color="auto" w:sz="6" w:space="0"/>
              <w:bottom w:val="outset" w:color="auto" w:sz="6" w:space="0"/>
              <w:right w:val="outset" w:color="auto" w:sz="6" w:space="0"/>
            </w:tcBorders>
          </w:tcPr>
          <w:p w14:paraId="048CF944">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59,0</w:t>
            </w:r>
          </w:p>
        </w:tc>
        <w:tc>
          <w:tcPr>
            <w:tcW w:w="0" w:type="auto"/>
            <w:tcBorders>
              <w:top w:val="nil"/>
              <w:left w:val="outset" w:color="auto" w:sz="6" w:space="0"/>
              <w:bottom w:val="outset" w:color="auto" w:sz="6" w:space="0"/>
              <w:right w:val="outset" w:color="auto" w:sz="6" w:space="0"/>
            </w:tcBorders>
          </w:tcPr>
          <w:p w14:paraId="2F436265">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55,3–69,50</w:t>
            </w:r>
          </w:p>
        </w:tc>
        <w:tc>
          <w:tcPr>
            <w:tcW w:w="0" w:type="auto"/>
            <w:tcBorders>
              <w:top w:val="nil"/>
              <w:left w:val="outset" w:color="auto" w:sz="6" w:space="0"/>
              <w:bottom w:val="outset" w:color="auto" w:sz="6" w:space="0"/>
              <w:right w:val="outset" w:color="auto" w:sz="6" w:space="0"/>
            </w:tcBorders>
          </w:tcPr>
          <w:p w14:paraId="47229B7A">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0,154</w:t>
            </w:r>
          </w:p>
        </w:tc>
      </w:tr>
      <w:tr w14:paraId="09B761CB">
        <w:tblPrEx>
          <w:tblCellMar>
            <w:top w:w="15" w:type="dxa"/>
            <w:left w:w="15" w:type="dxa"/>
            <w:bottom w:w="15" w:type="dxa"/>
            <w:right w:w="15" w:type="dxa"/>
          </w:tblCellMar>
        </w:tblPrEx>
        <w:tc>
          <w:tcPr>
            <w:tcW w:w="0" w:type="auto"/>
            <w:tcBorders>
              <w:top w:val="nil"/>
              <w:left w:val="outset" w:color="auto" w:sz="6" w:space="0"/>
              <w:bottom w:val="outset" w:color="auto" w:sz="6" w:space="0"/>
              <w:right w:val="outset" w:color="auto" w:sz="6" w:space="0"/>
            </w:tcBorders>
          </w:tcPr>
          <w:p w14:paraId="1EBE7271">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Тікелей билирубин</w:t>
            </w:r>
          </w:p>
        </w:tc>
        <w:tc>
          <w:tcPr>
            <w:tcW w:w="0" w:type="auto"/>
            <w:tcBorders>
              <w:top w:val="nil"/>
              <w:left w:val="outset" w:color="auto" w:sz="6" w:space="0"/>
              <w:bottom w:val="outset" w:color="auto" w:sz="6" w:space="0"/>
              <w:right w:val="outset" w:color="auto" w:sz="6" w:space="0"/>
            </w:tcBorders>
          </w:tcPr>
          <w:p w14:paraId="0B3919A4">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4,3</w:t>
            </w:r>
          </w:p>
        </w:tc>
        <w:tc>
          <w:tcPr>
            <w:tcW w:w="0" w:type="auto"/>
            <w:tcBorders>
              <w:top w:val="nil"/>
              <w:left w:val="outset" w:color="auto" w:sz="6" w:space="0"/>
              <w:bottom w:val="outset" w:color="auto" w:sz="6" w:space="0"/>
              <w:right w:val="outset" w:color="auto" w:sz="6" w:space="0"/>
            </w:tcBorders>
          </w:tcPr>
          <w:p w14:paraId="28997216">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4,1–4,6</w:t>
            </w:r>
          </w:p>
        </w:tc>
        <w:tc>
          <w:tcPr>
            <w:tcW w:w="0" w:type="auto"/>
            <w:tcBorders>
              <w:top w:val="nil"/>
              <w:left w:val="outset" w:color="auto" w:sz="6" w:space="0"/>
              <w:bottom w:val="outset" w:color="auto" w:sz="6" w:space="0"/>
              <w:right w:val="outset" w:color="auto" w:sz="6" w:space="0"/>
            </w:tcBorders>
          </w:tcPr>
          <w:p w14:paraId="21BA70BD">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4,25</w:t>
            </w:r>
          </w:p>
        </w:tc>
        <w:tc>
          <w:tcPr>
            <w:tcW w:w="0" w:type="auto"/>
            <w:tcBorders>
              <w:top w:val="nil"/>
              <w:left w:val="outset" w:color="auto" w:sz="6" w:space="0"/>
              <w:bottom w:val="outset" w:color="auto" w:sz="6" w:space="0"/>
              <w:right w:val="outset" w:color="auto" w:sz="6" w:space="0"/>
            </w:tcBorders>
          </w:tcPr>
          <w:p w14:paraId="0883C5BA">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4,2–4,3</w:t>
            </w:r>
          </w:p>
        </w:tc>
        <w:tc>
          <w:tcPr>
            <w:tcW w:w="0" w:type="auto"/>
            <w:tcBorders>
              <w:top w:val="nil"/>
              <w:left w:val="outset" w:color="auto" w:sz="6" w:space="0"/>
              <w:bottom w:val="outset" w:color="auto" w:sz="6" w:space="0"/>
              <w:right w:val="outset" w:color="auto" w:sz="6" w:space="0"/>
            </w:tcBorders>
          </w:tcPr>
          <w:p w14:paraId="4245137D">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4,4</w:t>
            </w:r>
          </w:p>
        </w:tc>
        <w:tc>
          <w:tcPr>
            <w:tcW w:w="0" w:type="auto"/>
            <w:tcBorders>
              <w:top w:val="nil"/>
              <w:left w:val="outset" w:color="auto" w:sz="6" w:space="0"/>
              <w:bottom w:val="outset" w:color="auto" w:sz="6" w:space="0"/>
              <w:right w:val="outset" w:color="auto" w:sz="6" w:space="0"/>
            </w:tcBorders>
          </w:tcPr>
          <w:p w14:paraId="6F096E9C">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4,0–4,6</w:t>
            </w:r>
          </w:p>
        </w:tc>
        <w:tc>
          <w:tcPr>
            <w:tcW w:w="0" w:type="auto"/>
            <w:tcBorders>
              <w:top w:val="nil"/>
              <w:left w:val="outset" w:color="auto" w:sz="6" w:space="0"/>
              <w:bottom w:val="outset" w:color="auto" w:sz="6" w:space="0"/>
              <w:right w:val="outset" w:color="auto" w:sz="6" w:space="0"/>
            </w:tcBorders>
          </w:tcPr>
          <w:p w14:paraId="57E54C75">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4,1</w:t>
            </w:r>
          </w:p>
        </w:tc>
        <w:tc>
          <w:tcPr>
            <w:tcW w:w="0" w:type="auto"/>
            <w:tcBorders>
              <w:top w:val="nil"/>
              <w:left w:val="outset" w:color="auto" w:sz="6" w:space="0"/>
              <w:bottom w:val="outset" w:color="auto" w:sz="6" w:space="0"/>
              <w:right w:val="outset" w:color="auto" w:sz="6" w:space="0"/>
            </w:tcBorders>
          </w:tcPr>
          <w:p w14:paraId="12B31307">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3,7–4,20</w:t>
            </w:r>
          </w:p>
        </w:tc>
        <w:tc>
          <w:tcPr>
            <w:tcW w:w="0" w:type="auto"/>
            <w:tcBorders>
              <w:top w:val="nil"/>
              <w:left w:val="outset" w:color="auto" w:sz="6" w:space="0"/>
              <w:bottom w:val="outset" w:color="auto" w:sz="6" w:space="0"/>
              <w:right w:val="outset" w:color="auto" w:sz="6" w:space="0"/>
            </w:tcBorders>
          </w:tcPr>
          <w:p w14:paraId="7AEDA3F2">
            <w:pPr>
              <w:widowControl w:val="0"/>
              <w:autoSpaceDE w:val="0"/>
              <w:autoSpaceDN w:val="0"/>
              <w:spacing w:after="0" w:line="276" w:lineRule="auto"/>
              <w:jc w:val="both"/>
              <w:outlineLvl w:val="0"/>
              <w:rPr>
                <w:rFonts w:ascii="Times New Roman" w:hAnsi="Times New Roman" w:eastAsia="Times New Roman" w:cs="Times New Roman"/>
                <w:b/>
                <w:sz w:val="28"/>
                <w:szCs w:val="28"/>
              </w:rPr>
            </w:pPr>
            <w:r>
              <w:rPr>
                <w:rFonts w:ascii="Times New Roman" w:hAnsi="Times New Roman" w:eastAsia="Times New Roman" w:cs="Times New Roman"/>
                <w:b/>
                <w:sz w:val="28"/>
                <w:szCs w:val="28"/>
              </w:rPr>
              <w:t>0,026</w:t>
            </w:r>
            <w:r>
              <w:rPr>
                <w:rFonts w:ascii="Times New Roman" w:hAnsi="Times New Roman" w:eastAsia="Times New Roman" w:cs="Times New Roman"/>
                <w:b/>
                <w:i/>
                <w:sz w:val="28"/>
                <w:szCs w:val="28"/>
              </w:rPr>
              <w:t>*</w:t>
            </w:r>
          </w:p>
        </w:tc>
      </w:tr>
      <w:tr w14:paraId="1652590F">
        <w:tblPrEx>
          <w:tblCellMar>
            <w:top w:w="15" w:type="dxa"/>
            <w:left w:w="15" w:type="dxa"/>
            <w:bottom w:w="15" w:type="dxa"/>
            <w:right w:w="15" w:type="dxa"/>
          </w:tblCellMar>
        </w:tblPrEx>
        <w:tc>
          <w:tcPr>
            <w:tcW w:w="0" w:type="auto"/>
            <w:tcBorders>
              <w:top w:val="nil"/>
              <w:left w:val="outset" w:color="auto" w:sz="6" w:space="0"/>
              <w:bottom w:val="outset" w:color="auto" w:sz="6" w:space="0"/>
              <w:right w:val="outset" w:color="auto" w:sz="6" w:space="0"/>
            </w:tcBorders>
          </w:tcPr>
          <w:p w14:paraId="5B2F6B5B">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Жалпы</w:t>
            </w:r>
          </w:p>
          <w:p w14:paraId="45366E41">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билирубин</w:t>
            </w:r>
          </w:p>
        </w:tc>
        <w:tc>
          <w:tcPr>
            <w:tcW w:w="0" w:type="auto"/>
            <w:tcBorders>
              <w:top w:val="nil"/>
              <w:left w:val="outset" w:color="auto" w:sz="6" w:space="0"/>
              <w:bottom w:val="outset" w:color="auto" w:sz="6" w:space="0"/>
              <w:right w:val="outset" w:color="auto" w:sz="6" w:space="0"/>
            </w:tcBorders>
          </w:tcPr>
          <w:p w14:paraId="5430988A">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14,5</w:t>
            </w:r>
          </w:p>
        </w:tc>
        <w:tc>
          <w:tcPr>
            <w:tcW w:w="0" w:type="auto"/>
            <w:tcBorders>
              <w:top w:val="nil"/>
              <w:left w:val="outset" w:color="auto" w:sz="6" w:space="0"/>
              <w:bottom w:val="outset" w:color="auto" w:sz="6" w:space="0"/>
              <w:right w:val="outset" w:color="auto" w:sz="6" w:space="0"/>
            </w:tcBorders>
          </w:tcPr>
          <w:p w14:paraId="6758D9AC">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14,4–14,9</w:t>
            </w:r>
          </w:p>
        </w:tc>
        <w:tc>
          <w:tcPr>
            <w:tcW w:w="0" w:type="auto"/>
            <w:tcBorders>
              <w:top w:val="nil"/>
              <w:left w:val="outset" w:color="auto" w:sz="6" w:space="0"/>
              <w:bottom w:val="outset" w:color="auto" w:sz="6" w:space="0"/>
              <w:right w:val="outset" w:color="auto" w:sz="6" w:space="0"/>
            </w:tcBorders>
          </w:tcPr>
          <w:p w14:paraId="56A378C5">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14,5</w:t>
            </w:r>
          </w:p>
        </w:tc>
        <w:tc>
          <w:tcPr>
            <w:tcW w:w="0" w:type="auto"/>
            <w:tcBorders>
              <w:top w:val="nil"/>
              <w:left w:val="outset" w:color="auto" w:sz="6" w:space="0"/>
              <w:bottom w:val="outset" w:color="auto" w:sz="6" w:space="0"/>
              <w:right w:val="outset" w:color="auto" w:sz="6" w:space="0"/>
            </w:tcBorders>
          </w:tcPr>
          <w:p w14:paraId="585CFCE0">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13,8–14,6</w:t>
            </w:r>
          </w:p>
        </w:tc>
        <w:tc>
          <w:tcPr>
            <w:tcW w:w="0" w:type="auto"/>
            <w:tcBorders>
              <w:top w:val="nil"/>
              <w:left w:val="outset" w:color="auto" w:sz="6" w:space="0"/>
              <w:bottom w:val="outset" w:color="auto" w:sz="6" w:space="0"/>
              <w:right w:val="outset" w:color="auto" w:sz="6" w:space="0"/>
            </w:tcBorders>
          </w:tcPr>
          <w:p w14:paraId="025DF904">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14,5</w:t>
            </w:r>
          </w:p>
        </w:tc>
        <w:tc>
          <w:tcPr>
            <w:tcW w:w="0" w:type="auto"/>
            <w:tcBorders>
              <w:top w:val="nil"/>
              <w:left w:val="outset" w:color="auto" w:sz="6" w:space="0"/>
              <w:bottom w:val="outset" w:color="auto" w:sz="6" w:space="0"/>
              <w:right w:val="outset" w:color="auto" w:sz="6" w:space="0"/>
            </w:tcBorders>
          </w:tcPr>
          <w:p w14:paraId="6A26C78C">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14,2–14,7</w:t>
            </w:r>
          </w:p>
        </w:tc>
        <w:tc>
          <w:tcPr>
            <w:tcW w:w="0" w:type="auto"/>
            <w:tcBorders>
              <w:top w:val="nil"/>
              <w:left w:val="outset" w:color="auto" w:sz="6" w:space="0"/>
              <w:bottom w:val="outset" w:color="auto" w:sz="6" w:space="0"/>
              <w:right w:val="outset" w:color="auto" w:sz="6" w:space="0"/>
            </w:tcBorders>
          </w:tcPr>
          <w:p w14:paraId="6CC22F6F">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14,25</w:t>
            </w:r>
          </w:p>
        </w:tc>
        <w:tc>
          <w:tcPr>
            <w:tcW w:w="0" w:type="auto"/>
            <w:tcBorders>
              <w:top w:val="nil"/>
              <w:left w:val="outset" w:color="auto" w:sz="6" w:space="0"/>
              <w:bottom w:val="outset" w:color="auto" w:sz="6" w:space="0"/>
              <w:right w:val="outset" w:color="auto" w:sz="6" w:space="0"/>
            </w:tcBorders>
          </w:tcPr>
          <w:p w14:paraId="70A2A38B">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13,9–14,60</w:t>
            </w:r>
          </w:p>
        </w:tc>
        <w:tc>
          <w:tcPr>
            <w:tcW w:w="0" w:type="auto"/>
            <w:tcBorders>
              <w:top w:val="nil"/>
              <w:left w:val="outset" w:color="auto" w:sz="6" w:space="0"/>
              <w:bottom w:val="outset" w:color="auto" w:sz="6" w:space="0"/>
              <w:right w:val="outset" w:color="auto" w:sz="6" w:space="0"/>
            </w:tcBorders>
          </w:tcPr>
          <w:p w14:paraId="2A68ECD4">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0,099</w:t>
            </w:r>
          </w:p>
        </w:tc>
      </w:tr>
      <w:tr w14:paraId="76D3FA82">
        <w:tblPrEx>
          <w:tblCellMar>
            <w:top w:w="15" w:type="dxa"/>
            <w:left w:w="15" w:type="dxa"/>
            <w:bottom w:w="15" w:type="dxa"/>
            <w:right w:w="15" w:type="dxa"/>
          </w:tblCellMar>
        </w:tblPrEx>
        <w:tc>
          <w:tcPr>
            <w:tcW w:w="0" w:type="auto"/>
            <w:tcBorders>
              <w:top w:val="nil"/>
              <w:left w:val="outset" w:color="auto" w:sz="6" w:space="0"/>
              <w:bottom w:val="outset" w:color="auto" w:sz="6" w:space="0"/>
              <w:right w:val="outset" w:color="auto" w:sz="6" w:space="0"/>
            </w:tcBorders>
          </w:tcPr>
          <w:p w14:paraId="702F5855">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АЛТ</w:t>
            </w:r>
          </w:p>
        </w:tc>
        <w:tc>
          <w:tcPr>
            <w:tcW w:w="0" w:type="auto"/>
            <w:tcBorders>
              <w:top w:val="nil"/>
              <w:left w:val="outset" w:color="auto" w:sz="6" w:space="0"/>
              <w:bottom w:val="outset" w:color="auto" w:sz="6" w:space="0"/>
              <w:right w:val="outset" w:color="auto" w:sz="6" w:space="0"/>
            </w:tcBorders>
          </w:tcPr>
          <w:p w14:paraId="635CA472">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17,0</w:t>
            </w:r>
          </w:p>
        </w:tc>
        <w:tc>
          <w:tcPr>
            <w:tcW w:w="0" w:type="auto"/>
            <w:tcBorders>
              <w:top w:val="nil"/>
              <w:left w:val="outset" w:color="auto" w:sz="6" w:space="0"/>
              <w:bottom w:val="outset" w:color="auto" w:sz="6" w:space="0"/>
              <w:right w:val="outset" w:color="auto" w:sz="6" w:space="0"/>
            </w:tcBorders>
          </w:tcPr>
          <w:p w14:paraId="741D9515">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13,0–21,0</w:t>
            </w:r>
          </w:p>
        </w:tc>
        <w:tc>
          <w:tcPr>
            <w:tcW w:w="0" w:type="auto"/>
            <w:tcBorders>
              <w:top w:val="nil"/>
              <w:left w:val="outset" w:color="auto" w:sz="6" w:space="0"/>
              <w:bottom w:val="outset" w:color="auto" w:sz="6" w:space="0"/>
              <w:right w:val="outset" w:color="auto" w:sz="6" w:space="0"/>
            </w:tcBorders>
          </w:tcPr>
          <w:p w14:paraId="2DED4782">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15,5</w:t>
            </w:r>
          </w:p>
        </w:tc>
        <w:tc>
          <w:tcPr>
            <w:tcW w:w="0" w:type="auto"/>
            <w:tcBorders>
              <w:top w:val="nil"/>
              <w:left w:val="outset" w:color="auto" w:sz="6" w:space="0"/>
              <w:bottom w:val="outset" w:color="auto" w:sz="6" w:space="0"/>
              <w:right w:val="outset" w:color="auto" w:sz="6" w:space="0"/>
            </w:tcBorders>
          </w:tcPr>
          <w:p w14:paraId="02DD09E4">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10,0–18,0</w:t>
            </w:r>
          </w:p>
        </w:tc>
        <w:tc>
          <w:tcPr>
            <w:tcW w:w="0" w:type="auto"/>
            <w:tcBorders>
              <w:top w:val="nil"/>
              <w:left w:val="outset" w:color="auto" w:sz="6" w:space="0"/>
              <w:bottom w:val="outset" w:color="auto" w:sz="6" w:space="0"/>
              <w:right w:val="outset" w:color="auto" w:sz="6" w:space="0"/>
            </w:tcBorders>
          </w:tcPr>
          <w:p w14:paraId="74D12420">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13,0</w:t>
            </w:r>
          </w:p>
        </w:tc>
        <w:tc>
          <w:tcPr>
            <w:tcW w:w="0" w:type="auto"/>
            <w:tcBorders>
              <w:top w:val="nil"/>
              <w:left w:val="outset" w:color="auto" w:sz="6" w:space="0"/>
              <w:bottom w:val="outset" w:color="auto" w:sz="6" w:space="0"/>
              <w:right w:val="outset" w:color="auto" w:sz="6" w:space="0"/>
            </w:tcBorders>
          </w:tcPr>
          <w:p w14:paraId="1663D797">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11,0–18,0</w:t>
            </w:r>
          </w:p>
        </w:tc>
        <w:tc>
          <w:tcPr>
            <w:tcW w:w="0" w:type="auto"/>
            <w:tcBorders>
              <w:top w:val="nil"/>
              <w:left w:val="outset" w:color="auto" w:sz="6" w:space="0"/>
              <w:bottom w:val="outset" w:color="auto" w:sz="6" w:space="0"/>
              <w:right w:val="outset" w:color="auto" w:sz="6" w:space="0"/>
            </w:tcBorders>
          </w:tcPr>
          <w:p w14:paraId="0F527EEB">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10,0</w:t>
            </w:r>
          </w:p>
        </w:tc>
        <w:tc>
          <w:tcPr>
            <w:tcW w:w="0" w:type="auto"/>
            <w:tcBorders>
              <w:top w:val="nil"/>
              <w:left w:val="outset" w:color="auto" w:sz="6" w:space="0"/>
              <w:bottom w:val="outset" w:color="auto" w:sz="6" w:space="0"/>
              <w:right w:val="outset" w:color="auto" w:sz="6" w:space="0"/>
            </w:tcBorders>
          </w:tcPr>
          <w:p w14:paraId="6ADBC6A6">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10,0–15,00</w:t>
            </w:r>
          </w:p>
        </w:tc>
        <w:tc>
          <w:tcPr>
            <w:tcW w:w="0" w:type="auto"/>
            <w:tcBorders>
              <w:top w:val="nil"/>
              <w:left w:val="outset" w:color="auto" w:sz="6" w:space="0"/>
              <w:bottom w:val="outset" w:color="auto" w:sz="6" w:space="0"/>
              <w:right w:val="outset" w:color="auto" w:sz="6" w:space="0"/>
            </w:tcBorders>
          </w:tcPr>
          <w:p w14:paraId="0C60C0E0">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0,096</w:t>
            </w:r>
          </w:p>
        </w:tc>
      </w:tr>
      <w:tr w14:paraId="5AEA6AFB">
        <w:tblPrEx>
          <w:tblCellMar>
            <w:top w:w="15" w:type="dxa"/>
            <w:left w:w="15" w:type="dxa"/>
            <w:bottom w:w="15" w:type="dxa"/>
            <w:right w:w="15" w:type="dxa"/>
          </w:tblCellMar>
        </w:tblPrEx>
        <w:tc>
          <w:tcPr>
            <w:tcW w:w="0" w:type="auto"/>
            <w:tcBorders>
              <w:top w:val="nil"/>
              <w:left w:val="outset" w:color="auto" w:sz="6" w:space="0"/>
              <w:bottom w:val="outset" w:color="auto" w:sz="6" w:space="0"/>
              <w:right w:val="outset" w:color="auto" w:sz="6" w:space="0"/>
            </w:tcBorders>
          </w:tcPr>
          <w:p w14:paraId="3D3E42B7">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АСТ</w:t>
            </w:r>
          </w:p>
        </w:tc>
        <w:tc>
          <w:tcPr>
            <w:tcW w:w="0" w:type="auto"/>
            <w:tcBorders>
              <w:top w:val="nil"/>
              <w:left w:val="outset" w:color="auto" w:sz="6" w:space="0"/>
              <w:bottom w:val="outset" w:color="auto" w:sz="6" w:space="0"/>
              <w:right w:val="outset" w:color="auto" w:sz="6" w:space="0"/>
            </w:tcBorders>
          </w:tcPr>
          <w:p w14:paraId="18923921">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19,0</w:t>
            </w:r>
          </w:p>
        </w:tc>
        <w:tc>
          <w:tcPr>
            <w:tcW w:w="0" w:type="auto"/>
            <w:tcBorders>
              <w:top w:val="nil"/>
              <w:left w:val="outset" w:color="auto" w:sz="6" w:space="0"/>
              <w:bottom w:val="outset" w:color="auto" w:sz="6" w:space="0"/>
              <w:right w:val="outset" w:color="auto" w:sz="6" w:space="0"/>
            </w:tcBorders>
          </w:tcPr>
          <w:p w14:paraId="3CA667E0">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14,0–24,0</w:t>
            </w:r>
          </w:p>
        </w:tc>
        <w:tc>
          <w:tcPr>
            <w:tcW w:w="0" w:type="auto"/>
            <w:tcBorders>
              <w:top w:val="nil"/>
              <w:left w:val="outset" w:color="auto" w:sz="6" w:space="0"/>
              <w:bottom w:val="outset" w:color="auto" w:sz="6" w:space="0"/>
              <w:right w:val="outset" w:color="auto" w:sz="6" w:space="0"/>
            </w:tcBorders>
          </w:tcPr>
          <w:p w14:paraId="56EBE1C0">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14,0</w:t>
            </w:r>
          </w:p>
        </w:tc>
        <w:tc>
          <w:tcPr>
            <w:tcW w:w="0" w:type="auto"/>
            <w:tcBorders>
              <w:top w:val="nil"/>
              <w:left w:val="outset" w:color="auto" w:sz="6" w:space="0"/>
              <w:bottom w:val="outset" w:color="auto" w:sz="6" w:space="0"/>
              <w:right w:val="outset" w:color="auto" w:sz="6" w:space="0"/>
            </w:tcBorders>
          </w:tcPr>
          <w:p w14:paraId="324079BD">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12,0–17,0</w:t>
            </w:r>
          </w:p>
        </w:tc>
        <w:tc>
          <w:tcPr>
            <w:tcW w:w="0" w:type="auto"/>
            <w:tcBorders>
              <w:top w:val="nil"/>
              <w:left w:val="outset" w:color="auto" w:sz="6" w:space="0"/>
              <w:bottom w:val="outset" w:color="auto" w:sz="6" w:space="0"/>
              <w:right w:val="outset" w:color="auto" w:sz="6" w:space="0"/>
            </w:tcBorders>
          </w:tcPr>
          <w:p w14:paraId="6E8B0C38">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17,0</w:t>
            </w:r>
          </w:p>
        </w:tc>
        <w:tc>
          <w:tcPr>
            <w:tcW w:w="0" w:type="auto"/>
            <w:tcBorders>
              <w:top w:val="nil"/>
              <w:left w:val="outset" w:color="auto" w:sz="6" w:space="0"/>
              <w:bottom w:val="outset" w:color="auto" w:sz="6" w:space="0"/>
              <w:right w:val="outset" w:color="auto" w:sz="6" w:space="0"/>
            </w:tcBorders>
          </w:tcPr>
          <w:p w14:paraId="6760A1E6">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13,0–20,0</w:t>
            </w:r>
          </w:p>
        </w:tc>
        <w:tc>
          <w:tcPr>
            <w:tcW w:w="0" w:type="auto"/>
            <w:tcBorders>
              <w:top w:val="nil"/>
              <w:left w:val="outset" w:color="auto" w:sz="6" w:space="0"/>
              <w:bottom w:val="outset" w:color="auto" w:sz="6" w:space="0"/>
              <w:right w:val="outset" w:color="auto" w:sz="6" w:space="0"/>
            </w:tcBorders>
          </w:tcPr>
          <w:p w14:paraId="012FE194">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13,0</w:t>
            </w:r>
          </w:p>
        </w:tc>
        <w:tc>
          <w:tcPr>
            <w:tcW w:w="0" w:type="auto"/>
            <w:tcBorders>
              <w:top w:val="nil"/>
              <w:left w:val="outset" w:color="auto" w:sz="6" w:space="0"/>
              <w:bottom w:val="outset" w:color="auto" w:sz="6" w:space="0"/>
              <w:right w:val="outset" w:color="auto" w:sz="6" w:space="0"/>
            </w:tcBorders>
          </w:tcPr>
          <w:p w14:paraId="24EDA942">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10,0–15,00</w:t>
            </w:r>
          </w:p>
        </w:tc>
        <w:tc>
          <w:tcPr>
            <w:tcW w:w="0" w:type="auto"/>
            <w:tcBorders>
              <w:top w:val="nil"/>
              <w:left w:val="outset" w:color="auto" w:sz="6" w:space="0"/>
              <w:bottom w:val="outset" w:color="auto" w:sz="6" w:space="0"/>
              <w:right w:val="outset" w:color="auto" w:sz="6" w:space="0"/>
            </w:tcBorders>
          </w:tcPr>
          <w:p w14:paraId="4C830F2F">
            <w:pPr>
              <w:widowControl w:val="0"/>
              <w:autoSpaceDE w:val="0"/>
              <w:autoSpaceDN w:val="0"/>
              <w:spacing w:after="0" w:line="276" w:lineRule="auto"/>
              <w:jc w:val="both"/>
              <w:outlineLvl w:val="0"/>
              <w:rPr>
                <w:rFonts w:ascii="Times New Roman" w:hAnsi="Times New Roman" w:eastAsia="Times New Roman" w:cs="Times New Roman"/>
                <w:b/>
                <w:sz w:val="28"/>
                <w:szCs w:val="28"/>
              </w:rPr>
            </w:pPr>
            <w:r>
              <w:rPr>
                <w:rFonts w:ascii="Times New Roman" w:hAnsi="Times New Roman" w:eastAsia="Times New Roman" w:cs="Times New Roman"/>
                <w:b/>
                <w:sz w:val="28"/>
                <w:szCs w:val="28"/>
              </w:rPr>
              <w:t>0,002</w:t>
            </w:r>
            <w:r>
              <w:rPr>
                <w:rFonts w:ascii="Times New Roman" w:hAnsi="Times New Roman" w:eastAsia="Times New Roman" w:cs="Times New Roman"/>
                <w:b/>
                <w:i/>
                <w:sz w:val="28"/>
                <w:szCs w:val="28"/>
              </w:rPr>
              <w:t>*</w:t>
            </w:r>
          </w:p>
        </w:tc>
      </w:tr>
      <w:tr w14:paraId="05502AD8">
        <w:tblPrEx>
          <w:tblCellMar>
            <w:top w:w="15" w:type="dxa"/>
            <w:left w:w="15" w:type="dxa"/>
            <w:bottom w:w="15" w:type="dxa"/>
            <w:right w:w="15" w:type="dxa"/>
          </w:tblCellMar>
        </w:tblPrEx>
        <w:tc>
          <w:tcPr>
            <w:tcW w:w="0" w:type="auto"/>
            <w:gridSpan w:val="10"/>
            <w:tcBorders>
              <w:top w:val="nil"/>
              <w:left w:val="outset" w:color="auto" w:sz="6" w:space="0"/>
              <w:bottom w:val="outset" w:color="auto" w:sz="6" w:space="0"/>
              <w:right w:val="outset" w:color="auto" w:sz="6" w:space="0"/>
            </w:tcBorders>
          </w:tcPr>
          <w:p w14:paraId="6E170CBA">
            <w:pPr>
              <w:widowControl w:val="0"/>
              <w:autoSpaceDE w:val="0"/>
              <w:autoSpaceDN w:val="0"/>
              <w:spacing w:after="0" w:line="276" w:lineRule="auto"/>
              <w:jc w:val="both"/>
              <w:outlineLvl w:val="0"/>
              <w:rPr>
                <w:rFonts w:ascii="Times New Roman" w:hAnsi="Times New Roman" w:eastAsia="Times New Roman" w:cs="Times New Roman"/>
                <w:b/>
                <w:i/>
                <w:sz w:val="28"/>
                <w:szCs w:val="28"/>
              </w:rPr>
            </w:pPr>
            <w:r>
              <w:rPr>
                <w:rFonts w:ascii="Times New Roman" w:hAnsi="Times New Roman" w:eastAsia="Times New Roman" w:cs="Times New Roman"/>
                <w:i/>
                <w:sz w:val="28"/>
                <w:szCs w:val="28"/>
              </w:rPr>
              <w:t xml:space="preserve">*–Краскел–Уоллис критерийі бойынша айырмашылығы, көрсеткіштердің өзгеруінің растығы бойынша р&lt;0.05  </w:t>
            </w:r>
          </w:p>
        </w:tc>
      </w:tr>
    </w:tbl>
    <w:p w14:paraId="6F8849E7">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 </w:t>
      </w:r>
    </w:p>
    <w:p w14:paraId="5A880DEA">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Зерттеудің маңызды көрсеткіштерін тереңірек талдау үшін Краскел–Уоллис критерийі арқылы статистикалық айырмашылықтар анықталған параметрлер бойынша Манн–Уитни Z критерийімен топаралық салыстыру жүргізілді (Кесте 9).</w:t>
      </w:r>
    </w:p>
    <w:p w14:paraId="308AB289">
      <w:pPr>
        <w:widowControl w:val="0"/>
        <w:autoSpaceDE w:val="0"/>
        <w:autoSpaceDN w:val="0"/>
        <w:spacing w:after="0" w:line="276" w:lineRule="auto"/>
        <w:ind w:firstLine="709"/>
        <w:jc w:val="both"/>
        <w:outlineLvl w:val="0"/>
        <w:rPr>
          <w:rFonts w:ascii="Times New Roman" w:hAnsi="Times New Roman" w:eastAsia="Times New Roman"/>
          <w:sz w:val="28"/>
          <w:szCs w:val="28"/>
          <w:lang w:eastAsia="ru-RU"/>
        </w:rPr>
      </w:pPr>
      <w:r>
        <w:rPr>
          <w:rFonts w:ascii="Times New Roman" w:hAnsi="Times New Roman" w:eastAsia="Times New Roman"/>
          <w:sz w:val="28"/>
          <w:szCs w:val="28"/>
          <w:lang w:eastAsia="ru-RU"/>
        </w:rPr>
        <w:t xml:space="preserve">Семіздігі бар жүкті әйелдерде (3-топ) және анемиясы бар жүкті әйелдерде (2-топ) эритроциттердің тұну жылдамдығы (ЭТЖ) жоғарылағаны анықталды (p &lt; 0,05). Семіздік пен анемияның үйлесуі (4-топ) қабыну көрсеткіштерін айтарлықтай күшейтті, бұл таяқша ядролық нейтрофилдер деңгейінің жоғарылауымен (p &lt; 0,05) және лимфоцит деңгейінің төмендеуімен (p &lt; 0,01) дәлелденді. Қабыну процестерінің белсенділігі созылмалы қабыну синдромының жүкті әйелдердегі анемияның патогенезіне ықпал ететінін көрсетеді. </w:t>
      </w:r>
    </w:p>
    <w:p w14:paraId="53EFF428">
      <w:pPr>
        <w:widowControl w:val="0"/>
        <w:autoSpaceDE w:val="0"/>
        <w:autoSpaceDN w:val="0"/>
        <w:spacing w:after="0" w:line="276" w:lineRule="auto"/>
        <w:ind w:firstLine="709"/>
        <w:jc w:val="both"/>
        <w:outlineLvl w:val="0"/>
        <w:rPr>
          <w:rFonts w:ascii="Times New Roman" w:hAnsi="Times New Roman" w:eastAsia="Times New Roman" w:cs="Times New Roman"/>
          <w:i/>
          <w:sz w:val="28"/>
          <w:szCs w:val="28"/>
          <w:lang w:eastAsia="ru-RU"/>
        </w:rPr>
      </w:pPr>
      <w:r>
        <w:rPr>
          <w:rFonts w:ascii="Times New Roman" w:hAnsi="Times New Roman" w:eastAsia="Times New Roman"/>
          <w:sz w:val="28"/>
          <w:szCs w:val="28"/>
          <w:lang w:eastAsia="ru-RU"/>
        </w:rPr>
        <w:t xml:space="preserve"> Протромбин индексі бақылау тобымен салыстырғанда анемиясы және семіздігі бар жүкті әйелдерде (4-топ) жоғарылаған (p = 0,039). </w:t>
      </w:r>
      <w:r>
        <w:rPr>
          <w:rFonts w:ascii="Times New Roman" w:hAnsi="Times New Roman" w:eastAsia="Times New Roman"/>
          <w:sz w:val="28"/>
          <w:szCs w:val="28"/>
          <w:lang w:val="kk-KZ" w:eastAsia="ru-RU"/>
        </w:rPr>
        <w:t>БЖТУ</w:t>
      </w:r>
      <w:r>
        <w:rPr>
          <w:rFonts w:ascii="Times New Roman" w:hAnsi="Times New Roman" w:eastAsia="Times New Roman"/>
          <w:sz w:val="28"/>
          <w:szCs w:val="28"/>
          <w:lang w:eastAsia="ru-RU"/>
        </w:rPr>
        <w:t xml:space="preserve">, ХҚҚ және фибриноген деңгейлері бойынша клиникалық маңызды айырмашылықтар анықталған жоқ, бұл қан ұю жүйесінің жалпы тұрақтылығы сақталғанын көрсетеді. </w:t>
      </w:r>
      <w:r>
        <w:rPr>
          <w:rFonts w:ascii="Times New Roman" w:hAnsi="Times New Roman" w:eastAsia="Times New Roman" w:cs="Times New Roman"/>
          <w:i/>
          <w:sz w:val="28"/>
          <w:szCs w:val="28"/>
          <w:lang w:eastAsia="ru-RU"/>
        </w:rPr>
        <w:t xml:space="preserve"> </w:t>
      </w:r>
    </w:p>
    <w:p w14:paraId="377679D3">
      <w:pPr>
        <w:widowControl w:val="0"/>
        <w:autoSpaceDE w:val="0"/>
        <w:autoSpaceDN w:val="0"/>
        <w:spacing w:after="0" w:line="276" w:lineRule="auto"/>
        <w:ind w:firstLine="709"/>
        <w:jc w:val="both"/>
        <w:outlineLvl w:val="0"/>
        <w:rPr>
          <w:rFonts w:ascii="Times New Roman" w:hAnsi="Times New Roman" w:eastAsia="Times New Roman" w:cs="Times New Roman"/>
          <w:i/>
          <w:sz w:val="28"/>
          <w:szCs w:val="28"/>
          <w:lang w:eastAsia="ru-RU"/>
        </w:rPr>
      </w:pPr>
    </w:p>
    <w:p w14:paraId="572C5E94">
      <w:pPr>
        <w:widowControl w:val="0"/>
        <w:autoSpaceDE w:val="0"/>
        <w:autoSpaceDN w:val="0"/>
        <w:spacing w:after="0" w:line="276" w:lineRule="auto"/>
        <w:ind w:firstLine="709"/>
        <w:jc w:val="both"/>
        <w:outlineLvl w:val="0"/>
        <w:rPr>
          <w:rFonts w:ascii="Times New Roman" w:hAnsi="Times New Roman" w:eastAsia="Times New Roman" w:cs="Times New Roman"/>
          <w:iCs/>
          <w:sz w:val="28"/>
          <w:szCs w:val="28"/>
          <w:lang w:eastAsia="ru-RU"/>
        </w:rPr>
      </w:pPr>
      <w:r>
        <w:rPr>
          <w:rFonts w:ascii="Times New Roman" w:hAnsi="Times New Roman" w:eastAsia="Times New Roman" w:cs="Times New Roman"/>
          <w:iCs/>
          <w:sz w:val="28"/>
          <w:szCs w:val="28"/>
          <w:lang w:eastAsia="ru-RU"/>
        </w:rPr>
        <w:t>Кесте – 9. Жүкті әйелдердің зертханалық көрсеткіштерін топаралық салыстырмалы бағалау</w:t>
      </w:r>
    </w:p>
    <w:p w14:paraId="5C35462E">
      <w:pPr>
        <w:widowControl w:val="0"/>
        <w:autoSpaceDE w:val="0"/>
        <w:autoSpaceDN w:val="0"/>
        <w:spacing w:after="0" w:line="276" w:lineRule="auto"/>
        <w:ind w:firstLine="709"/>
        <w:jc w:val="both"/>
        <w:outlineLvl w:val="0"/>
        <w:rPr>
          <w:rFonts w:ascii="Times New Roman" w:hAnsi="Times New Roman" w:eastAsia="Times New Roman" w:cs="Times New Roman"/>
          <w:iCs/>
          <w:sz w:val="28"/>
          <w:szCs w:val="28"/>
          <w:lang w:eastAsia="ru-RU"/>
        </w:rPr>
      </w:pPr>
    </w:p>
    <w:tbl>
      <w:tblPr>
        <w:tblStyle w:val="5"/>
        <w:tblW w:w="0" w:type="auto"/>
        <w:tblInd w:w="0" w:type="dxa"/>
        <w:tblLayout w:type="autofit"/>
        <w:tblCellMar>
          <w:top w:w="15" w:type="dxa"/>
          <w:left w:w="15" w:type="dxa"/>
          <w:bottom w:w="15" w:type="dxa"/>
          <w:right w:w="15" w:type="dxa"/>
        </w:tblCellMar>
      </w:tblPr>
      <w:tblGrid>
        <w:gridCol w:w="1481"/>
        <w:gridCol w:w="658"/>
        <w:gridCol w:w="658"/>
        <w:gridCol w:w="658"/>
        <w:gridCol w:w="658"/>
        <w:gridCol w:w="659"/>
        <w:gridCol w:w="659"/>
        <w:gridCol w:w="659"/>
        <w:gridCol w:w="659"/>
        <w:gridCol w:w="659"/>
        <w:gridCol w:w="659"/>
        <w:gridCol w:w="659"/>
        <w:gridCol w:w="659"/>
      </w:tblGrid>
      <w:tr w14:paraId="13C2EEE1">
        <w:tblPrEx>
          <w:tblCellMar>
            <w:top w:w="15" w:type="dxa"/>
            <w:left w:w="15" w:type="dxa"/>
            <w:bottom w:w="15" w:type="dxa"/>
            <w:right w:w="15" w:type="dxa"/>
          </w:tblCellMar>
        </w:tblPrEx>
        <w:tc>
          <w:tcPr>
            <w:tcW w:w="0" w:type="auto"/>
            <w:tcBorders>
              <w:top w:val="outset" w:color="auto" w:sz="6" w:space="0"/>
              <w:left w:val="outset" w:color="auto" w:sz="6" w:space="0"/>
              <w:bottom w:val="outset" w:color="auto" w:sz="6" w:space="0"/>
              <w:right w:val="outset" w:color="auto" w:sz="6" w:space="0"/>
            </w:tcBorders>
          </w:tcPr>
          <w:p w14:paraId="02D23A91">
            <w:pPr>
              <w:widowControl w:val="0"/>
              <w:autoSpaceDE w:val="0"/>
              <w:autoSpaceDN w:val="0"/>
              <w:spacing w:after="0" w:line="276" w:lineRule="auto"/>
              <w:jc w:val="both"/>
              <w:outlineLvl w:val="0"/>
              <w:rPr>
                <w:rFonts w:ascii="Times New Roman" w:hAnsi="Times New Roman" w:eastAsia="Times New Roman" w:cs="Times New Roman"/>
                <w:b/>
                <w:bCs/>
                <w:sz w:val="28"/>
                <w:szCs w:val="28"/>
              </w:rPr>
            </w:pPr>
            <w:bookmarkStart w:id="5" w:name="_Hlk163996945"/>
            <w:r>
              <w:rPr>
                <w:rFonts w:ascii="Times New Roman" w:hAnsi="Times New Roman" w:eastAsia="Times New Roman" w:cs="Times New Roman"/>
                <w:b/>
                <w:bCs/>
                <w:sz w:val="28"/>
                <w:szCs w:val="28"/>
              </w:rPr>
              <w:t>Көрсеткіштер</w:t>
            </w:r>
            <w:bookmarkEnd w:id="5"/>
          </w:p>
        </w:tc>
        <w:tc>
          <w:tcPr>
            <w:tcW w:w="0" w:type="auto"/>
            <w:gridSpan w:val="2"/>
            <w:tcBorders>
              <w:top w:val="outset" w:color="auto" w:sz="6" w:space="0"/>
              <w:left w:val="outset" w:color="auto" w:sz="6" w:space="0"/>
              <w:bottom w:val="outset" w:color="auto" w:sz="6" w:space="0"/>
              <w:right w:val="outset" w:color="auto" w:sz="6" w:space="0"/>
            </w:tcBorders>
          </w:tcPr>
          <w:p w14:paraId="561D76B6">
            <w:pPr>
              <w:widowControl w:val="0"/>
              <w:autoSpaceDE w:val="0"/>
              <w:autoSpaceDN w:val="0"/>
              <w:spacing w:after="0" w:line="276" w:lineRule="auto"/>
              <w:jc w:val="both"/>
              <w:outlineLvl w:val="0"/>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Pr>
              <w:t>1 және 2 топтар</w:t>
            </w:r>
          </w:p>
        </w:tc>
        <w:tc>
          <w:tcPr>
            <w:tcW w:w="0" w:type="auto"/>
            <w:gridSpan w:val="2"/>
            <w:tcBorders>
              <w:top w:val="outset" w:color="auto" w:sz="6" w:space="0"/>
              <w:left w:val="outset" w:color="auto" w:sz="6" w:space="0"/>
              <w:bottom w:val="outset" w:color="auto" w:sz="6" w:space="0"/>
              <w:right w:val="outset" w:color="auto" w:sz="6" w:space="0"/>
            </w:tcBorders>
          </w:tcPr>
          <w:p w14:paraId="435FFA23">
            <w:pPr>
              <w:widowControl w:val="0"/>
              <w:autoSpaceDE w:val="0"/>
              <w:autoSpaceDN w:val="0"/>
              <w:spacing w:after="0" w:line="276" w:lineRule="auto"/>
              <w:jc w:val="both"/>
              <w:outlineLvl w:val="0"/>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Pr>
              <w:t>1 және 3 топтар</w:t>
            </w:r>
          </w:p>
        </w:tc>
        <w:tc>
          <w:tcPr>
            <w:tcW w:w="0" w:type="auto"/>
            <w:gridSpan w:val="2"/>
            <w:tcBorders>
              <w:top w:val="outset" w:color="auto" w:sz="6" w:space="0"/>
              <w:left w:val="outset" w:color="auto" w:sz="6" w:space="0"/>
              <w:bottom w:val="outset" w:color="auto" w:sz="6" w:space="0"/>
              <w:right w:val="outset" w:color="auto" w:sz="6" w:space="0"/>
            </w:tcBorders>
          </w:tcPr>
          <w:p w14:paraId="540BEF46">
            <w:pPr>
              <w:widowControl w:val="0"/>
              <w:autoSpaceDE w:val="0"/>
              <w:autoSpaceDN w:val="0"/>
              <w:spacing w:after="0" w:line="276" w:lineRule="auto"/>
              <w:jc w:val="both"/>
              <w:outlineLvl w:val="0"/>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Pr>
              <w:t>1 және 4 топтар</w:t>
            </w:r>
          </w:p>
        </w:tc>
        <w:tc>
          <w:tcPr>
            <w:tcW w:w="0" w:type="auto"/>
            <w:gridSpan w:val="2"/>
            <w:tcBorders>
              <w:top w:val="outset" w:color="auto" w:sz="6" w:space="0"/>
              <w:left w:val="outset" w:color="auto" w:sz="6" w:space="0"/>
              <w:bottom w:val="outset" w:color="auto" w:sz="6" w:space="0"/>
              <w:right w:val="outset" w:color="auto" w:sz="6" w:space="0"/>
            </w:tcBorders>
          </w:tcPr>
          <w:p w14:paraId="68E7331C">
            <w:pPr>
              <w:widowControl w:val="0"/>
              <w:autoSpaceDE w:val="0"/>
              <w:autoSpaceDN w:val="0"/>
              <w:spacing w:after="0" w:line="276" w:lineRule="auto"/>
              <w:jc w:val="both"/>
              <w:outlineLvl w:val="0"/>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Pr>
              <w:t>2 және 3 топтар</w:t>
            </w:r>
          </w:p>
        </w:tc>
        <w:tc>
          <w:tcPr>
            <w:tcW w:w="0" w:type="auto"/>
            <w:gridSpan w:val="2"/>
            <w:tcBorders>
              <w:top w:val="outset" w:color="auto" w:sz="6" w:space="0"/>
              <w:left w:val="outset" w:color="auto" w:sz="6" w:space="0"/>
              <w:bottom w:val="outset" w:color="auto" w:sz="6" w:space="0"/>
              <w:right w:val="outset" w:color="auto" w:sz="6" w:space="0"/>
            </w:tcBorders>
          </w:tcPr>
          <w:p w14:paraId="08A09B7B">
            <w:pPr>
              <w:widowControl w:val="0"/>
              <w:autoSpaceDE w:val="0"/>
              <w:autoSpaceDN w:val="0"/>
              <w:spacing w:after="0" w:line="276" w:lineRule="auto"/>
              <w:jc w:val="both"/>
              <w:outlineLvl w:val="0"/>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Pr>
              <w:t>2 және 4 топтар</w:t>
            </w:r>
          </w:p>
        </w:tc>
        <w:tc>
          <w:tcPr>
            <w:tcW w:w="0" w:type="auto"/>
            <w:gridSpan w:val="2"/>
            <w:tcBorders>
              <w:top w:val="outset" w:color="auto" w:sz="6" w:space="0"/>
              <w:left w:val="outset" w:color="auto" w:sz="6" w:space="0"/>
              <w:bottom w:val="outset" w:color="auto" w:sz="6" w:space="0"/>
              <w:right w:val="outset" w:color="auto" w:sz="6" w:space="0"/>
            </w:tcBorders>
          </w:tcPr>
          <w:p w14:paraId="14797D27">
            <w:pPr>
              <w:widowControl w:val="0"/>
              <w:autoSpaceDE w:val="0"/>
              <w:autoSpaceDN w:val="0"/>
              <w:spacing w:after="0" w:line="276" w:lineRule="auto"/>
              <w:jc w:val="both"/>
              <w:outlineLvl w:val="0"/>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Pr>
              <w:t>3 және 4 топтар</w:t>
            </w:r>
          </w:p>
        </w:tc>
      </w:tr>
      <w:tr w14:paraId="4F9BF1C6">
        <w:tblPrEx>
          <w:tblCellMar>
            <w:top w:w="15" w:type="dxa"/>
            <w:left w:w="15" w:type="dxa"/>
            <w:bottom w:w="15" w:type="dxa"/>
            <w:right w:w="15" w:type="dxa"/>
          </w:tblCellMar>
        </w:tblPrEx>
        <w:tc>
          <w:tcPr>
            <w:tcW w:w="0" w:type="auto"/>
            <w:tcBorders>
              <w:top w:val="nil"/>
              <w:left w:val="outset" w:color="auto" w:sz="6" w:space="0"/>
              <w:bottom w:val="outset" w:color="auto" w:sz="6" w:space="0"/>
              <w:right w:val="outset" w:color="auto" w:sz="6" w:space="0"/>
            </w:tcBorders>
          </w:tcPr>
          <w:p w14:paraId="3852D992">
            <w:pPr>
              <w:widowControl w:val="0"/>
              <w:autoSpaceDE w:val="0"/>
              <w:autoSpaceDN w:val="0"/>
              <w:spacing w:after="0" w:line="276" w:lineRule="auto"/>
              <w:jc w:val="both"/>
              <w:outlineLvl w:val="0"/>
              <w:rPr>
                <w:rFonts w:ascii="Times New Roman" w:hAnsi="Times New Roman" w:eastAsia="Times New Roman" w:cs="Times New Roman"/>
                <w:sz w:val="28"/>
                <w:szCs w:val="28"/>
              </w:rPr>
            </w:pPr>
          </w:p>
        </w:tc>
        <w:tc>
          <w:tcPr>
            <w:tcW w:w="0" w:type="auto"/>
            <w:tcBorders>
              <w:top w:val="nil"/>
              <w:left w:val="outset" w:color="auto" w:sz="6" w:space="0"/>
              <w:bottom w:val="outset" w:color="auto" w:sz="6" w:space="0"/>
              <w:right w:val="outset" w:color="auto" w:sz="6" w:space="0"/>
            </w:tcBorders>
          </w:tcPr>
          <w:p w14:paraId="5D7199D8">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Z</w:t>
            </w:r>
          </w:p>
        </w:tc>
        <w:tc>
          <w:tcPr>
            <w:tcW w:w="0" w:type="auto"/>
            <w:tcBorders>
              <w:top w:val="nil"/>
              <w:left w:val="outset" w:color="auto" w:sz="6" w:space="0"/>
              <w:bottom w:val="outset" w:color="auto" w:sz="6" w:space="0"/>
              <w:right w:val="outset" w:color="auto" w:sz="6" w:space="0"/>
            </w:tcBorders>
          </w:tcPr>
          <w:p w14:paraId="6A27CB35">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р</w:t>
            </w:r>
          </w:p>
        </w:tc>
        <w:tc>
          <w:tcPr>
            <w:tcW w:w="0" w:type="auto"/>
            <w:tcBorders>
              <w:top w:val="nil"/>
              <w:left w:val="outset" w:color="auto" w:sz="6" w:space="0"/>
              <w:bottom w:val="outset" w:color="auto" w:sz="6" w:space="0"/>
              <w:right w:val="outset" w:color="auto" w:sz="6" w:space="0"/>
            </w:tcBorders>
          </w:tcPr>
          <w:p w14:paraId="13ABA4FF">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Z</w:t>
            </w:r>
          </w:p>
        </w:tc>
        <w:tc>
          <w:tcPr>
            <w:tcW w:w="0" w:type="auto"/>
            <w:tcBorders>
              <w:top w:val="nil"/>
              <w:left w:val="outset" w:color="auto" w:sz="6" w:space="0"/>
              <w:bottom w:val="outset" w:color="auto" w:sz="6" w:space="0"/>
              <w:right w:val="outset" w:color="auto" w:sz="6" w:space="0"/>
            </w:tcBorders>
          </w:tcPr>
          <w:p w14:paraId="3AE57DF7">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р</w:t>
            </w:r>
          </w:p>
        </w:tc>
        <w:tc>
          <w:tcPr>
            <w:tcW w:w="0" w:type="auto"/>
            <w:tcBorders>
              <w:top w:val="nil"/>
              <w:left w:val="outset" w:color="auto" w:sz="6" w:space="0"/>
              <w:bottom w:val="outset" w:color="auto" w:sz="6" w:space="0"/>
              <w:right w:val="outset" w:color="auto" w:sz="6" w:space="0"/>
            </w:tcBorders>
          </w:tcPr>
          <w:p w14:paraId="111E3078">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Z</w:t>
            </w:r>
          </w:p>
        </w:tc>
        <w:tc>
          <w:tcPr>
            <w:tcW w:w="0" w:type="auto"/>
            <w:tcBorders>
              <w:top w:val="nil"/>
              <w:left w:val="outset" w:color="auto" w:sz="6" w:space="0"/>
              <w:bottom w:val="outset" w:color="auto" w:sz="6" w:space="0"/>
              <w:right w:val="outset" w:color="auto" w:sz="6" w:space="0"/>
            </w:tcBorders>
          </w:tcPr>
          <w:p w14:paraId="4E3626DD">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р</w:t>
            </w:r>
          </w:p>
        </w:tc>
        <w:tc>
          <w:tcPr>
            <w:tcW w:w="0" w:type="auto"/>
            <w:tcBorders>
              <w:top w:val="outset" w:color="auto" w:sz="6" w:space="0"/>
              <w:left w:val="outset" w:color="auto" w:sz="6" w:space="0"/>
              <w:bottom w:val="outset" w:color="auto" w:sz="6" w:space="0"/>
              <w:right w:val="outset" w:color="auto" w:sz="6" w:space="0"/>
            </w:tcBorders>
          </w:tcPr>
          <w:p w14:paraId="0E7DB9C4">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Z</w:t>
            </w:r>
          </w:p>
        </w:tc>
        <w:tc>
          <w:tcPr>
            <w:tcW w:w="0" w:type="auto"/>
            <w:tcBorders>
              <w:top w:val="outset" w:color="auto" w:sz="6" w:space="0"/>
              <w:left w:val="outset" w:color="auto" w:sz="6" w:space="0"/>
              <w:bottom w:val="outset" w:color="auto" w:sz="6" w:space="0"/>
              <w:right w:val="outset" w:color="auto" w:sz="6" w:space="0"/>
            </w:tcBorders>
          </w:tcPr>
          <w:p w14:paraId="084C40A4">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р</w:t>
            </w:r>
          </w:p>
        </w:tc>
        <w:tc>
          <w:tcPr>
            <w:tcW w:w="0" w:type="auto"/>
            <w:tcBorders>
              <w:top w:val="outset" w:color="auto" w:sz="6" w:space="0"/>
              <w:left w:val="outset" w:color="auto" w:sz="6" w:space="0"/>
              <w:bottom w:val="outset" w:color="auto" w:sz="6" w:space="0"/>
              <w:right w:val="outset" w:color="auto" w:sz="6" w:space="0"/>
            </w:tcBorders>
          </w:tcPr>
          <w:p w14:paraId="70587C09">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Z</w:t>
            </w:r>
          </w:p>
        </w:tc>
        <w:tc>
          <w:tcPr>
            <w:tcW w:w="0" w:type="auto"/>
            <w:tcBorders>
              <w:top w:val="outset" w:color="auto" w:sz="6" w:space="0"/>
              <w:left w:val="outset" w:color="auto" w:sz="6" w:space="0"/>
              <w:bottom w:val="outset" w:color="auto" w:sz="6" w:space="0"/>
              <w:right w:val="outset" w:color="auto" w:sz="6" w:space="0"/>
            </w:tcBorders>
          </w:tcPr>
          <w:p w14:paraId="0D9B68C6">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р</w:t>
            </w:r>
          </w:p>
        </w:tc>
        <w:tc>
          <w:tcPr>
            <w:tcW w:w="0" w:type="auto"/>
            <w:tcBorders>
              <w:top w:val="outset" w:color="auto" w:sz="6" w:space="0"/>
              <w:left w:val="outset" w:color="auto" w:sz="6" w:space="0"/>
              <w:bottom w:val="outset" w:color="auto" w:sz="6" w:space="0"/>
              <w:right w:val="outset" w:color="auto" w:sz="6" w:space="0"/>
            </w:tcBorders>
          </w:tcPr>
          <w:p w14:paraId="1E0F1F04">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Z</w:t>
            </w:r>
          </w:p>
        </w:tc>
        <w:tc>
          <w:tcPr>
            <w:tcW w:w="0" w:type="auto"/>
            <w:tcBorders>
              <w:top w:val="outset" w:color="auto" w:sz="6" w:space="0"/>
              <w:left w:val="outset" w:color="auto" w:sz="6" w:space="0"/>
              <w:bottom w:val="outset" w:color="auto" w:sz="6" w:space="0"/>
              <w:right w:val="outset" w:color="auto" w:sz="6" w:space="0"/>
            </w:tcBorders>
          </w:tcPr>
          <w:p w14:paraId="4525A0F0">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р</w:t>
            </w:r>
          </w:p>
        </w:tc>
      </w:tr>
      <w:tr w14:paraId="3E301947">
        <w:tblPrEx>
          <w:tblCellMar>
            <w:top w:w="15" w:type="dxa"/>
            <w:left w:w="15" w:type="dxa"/>
            <w:bottom w:w="15" w:type="dxa"/>
            <w:right w:w="15" w:type="dxa"/>
          </w:tblCellMar>
        </w:tblPrEx>
        <w:tc>
          <w:tcPr>
            <w:tcW w:w="0" w:type="auto"/>
            <w:gridSpan w:val="13"/>
            <w:tcBorders>
              <w:top w:val="nil"/>
              <w:left w:val="outset" w:color="auto" w:sz="6" w:space="0"/>
              <w:bottom w:val="outset" w:color="auto" w:sz="6" w:space="0"/>
              <w:right w:val="outset" w:color="auto" w:sz="6" w:space="0"/>
            </w:tcBorders>
          </w:tcPr>
          <w:p w14:paraId="2C9729EC">
            <w:pPr>
              <w:widowControl w:val="0"/>
              <w:autoSpaceDE w:val="0"/>
              <w:autoSpaceDN w:val="0"/>
              <w:spacing w:after="0" w:line="276" w:lineRule="auto"/>
              <w:jc w:val="both"/>
              <w:outlineLvl w:val="0"/>
              <w:rPr>
                <w:rFonts w:ascii="Times New Roman" w:hAnsi="Times New Roman" w:eastAsia="Times New Roman" w:cs="Times New Roman"/>
                <w:b/>
                <w:bCs/>
                <w:i/>
                <w:iCs/>
                <w:sz w:val="28"/>
                <w:szCs w:val="28"/>
              </w:rPr>
            </w:pPr>
            <w:r>
              <w:rPr>
                <w:rFonts w:ascii="Times New Roman" w:hAnsi="Times New Roman" w:eastAsia="Times New Roman" w:cs="Times New Roman"/>
                <w:b/>
                <w:bCs/>
                <w:i/>
                <w:iCs/>
                <w:sz w:val="28"/>
                <w:szCs w:val="28"/>
              </w:rPr>
              <w:t>Гемограмма, коагулограмма, биохимиялық анализ</w:t>
            </w:r>
          </w:p>
        </w:tc>
      </w:tr>
      <w:tr w14:paraId="5D22685E">
        <w:tblPrEx>
          <w:tblCellMar>
            <w:top w:w="15" w:type="dxa"/>
            <w:left w:w="15" w:type="dxa"/>
            <w:bottom w:w="15" w:type="dxa"/>
            <w:right w:w="15" w:type="dxa"/>
          </w:tblCellMar>
        </w:tblPrEx>
        <w:tc>
          <w:tcPr>
            <w:tcW w:w="0" w:type="auto"/>
            <w:tcBorders>
              <w:top w:val="nil"/>
              <w:left w:val="outset" w:color="auto" w:sz="6" w:space="0"/>
              <w:bottom w:val="outset" w:color="auto" w:sz="6" w:space="0"/>
              <w:right w:val="outset" w:color="auto" w:sz="6" w:space="0"/>
            </w:tcBorders>
          </w:tcPr>
          <w:p w14:paraId="56468AC3">
            <w:pPr>
              <w:widowControl w:val="0"/>
              <w:autoSpaceDE w:val="0"/>
              <w:autoSpaceDN w:val="0"/>
              <w:spacing w:after="0" w:line="276" w:lineRule="auto"/>
              <w:jc w:val="both"/>
              <w:outlineLvl w:val="0"/>
              <w:rPr>
                <w:rFonts w:ascii="Times New Roman" w:hAnsi="Times New Roman" w:eastAsia="Times New Roman" w:cs="Times New Roman"/>
                <w:sz w:val="28"/>
                <w:szCs w:val="28"/>
                <w:lang w:val="kk-KZ"/>
              </w:rPr>
            </w:pPr>
            <w:r>
              <w:rPr>
                <w:rFonts w:ascii="Times New Roman" w:hAnsi="Times New Roman" w:eastAsia="Times New Roman" w:cs="Times New Roman"/>
                <w:sz w:val="28"/>
                <w:szCs w:val="28"/>
              </w:rPr>
              <w:t>Э</w:t>
            </w:r>
            <w:r>
              <w:rPr>
                <w:rFonts w:ascii="Times New Roman" w:hAnsi="Times New Roman" w:eastAsia="Times New Roman" w:cs="Times New Roman"/>
                <w:sz w:val="28"/>
                <w:szCs w:val="28"/>
                <w:lang w:val="kk-KZ"/>
              </w:rPr>
              <w:t>ритроциттер</w:t>
            </w:r>
          </w:p>
        </w:tc>
        <w:tc>
          <w:tcPr>
            <w:tcW w:w="0" w:type="auto"/>
            <w:tcBorders>
              <w:top w:val="outset" w:color="auto" w:sz="6" w:space="0"/>
              <w:left w:val="outset" w:color="auto" w:sz="6" w:space="0"/>
              <w:bottom w:val="outset" w:color="auto" w:sz="6" w:space="0"/>
              <w:right w:val="outset" w:color="auto" w:sz="6" w:space="0"/>
            </w:tcBorders>
          </w:tcPr>
          <w:p w14:paraId="6B46501A">
            <w:pPr>
              <w:widowControl w:val="0"/>
              <w:autoSpaceDE w:val="0"/>
              <w:autoSpaceDN w:val="0"/>
              <w:spacing w:after="0" w:line="276" w:lineRule="auto"/>
              <w:jc w:val="both"/>
              <w:outlineLvl w:val="0"/>
              <w:rPr>
                <w:rFonts w:ascii="Times New Roman" w:hAnsi="Times New Roman" w:eastAsia="Times New Roman" w:cs="Times New Roman"/>
                <w:b/>
                <w:sz w:val="28"/>
                <w:szCs w:val="28"/>
              </w:rPr>
            </w:pPr>
            <w:r>
              <w:rPr>
                <w:rFonts w:ascii="Times New Roman" w:hAnsi="Times New Roman" w:eastAsia="Times New Roman" w:cs="Times New Roman"/>
                <w:b/>
                <w:sz w:val="28"/>
                <w:szCs w:val="28"/>
              </w:rPr>
              <w:t>–3,885</w:t>
            </w:r>
          </w:p>
        </w:tc>
        <w:tc>
          <w:tcPr>
            <w:tcW w:w="0" w:type="auto"/>
            <w:tcBorders>
              <w:top w:val="outset" w:color="auto" w:sz="6" w:space="0"/>
              <w:left w:val="outset" w:color="auto" w:sz="6" w:space="0"/>
              <w:bottom w:val="outset" w:color="auto" w:sz="6" w:space="0"/>
              <w:right w:val="outset" w:color="auto" w:sz="6" w:space="0"/>
            </w:tcBorders>
          </w:tcPr>
          <w:p w14:paraId="037BD98E">
            <w:pPr>
              <w:widowControl w:val="0"/>
              <w:autoSpaceDE w:val="0"/>
              <w:autoSpaceDN w:val="0"/>
              <w:spacing w:after="0" w:line="276" w:lineRule="auto"/>
              <w:jc w:val="both"/>
              <w:outlineLvl w:val="0"/>
              <w:rPr>
                <w:rFonts w:ascii="Times New Roman" w:hAnsi="Times New Roman" w:eastAsia="Times New Roman" w:cs="Times New Roman"/>
                <w:b/>
                <w:sz w:val="28"/>
                <w:szCs w:val="28"/>
              </w:rPr>
            </w:pPr>
            <w:r>
              <w:rPr>
                <w:rFonts w:ascii="Times New Roman" w:hAnsi="Times New Roman" w:eastAsia="Times New Roman" w:cs="Times New Roman"/>
                <w:b/>
                <w:sz w:val="28"/>
                <w:szCs w:val="28"/>
              </w:rPr>
              <w:t>0,000</w:t>
            </w:r>
            <w:r>
              <w:rPr>
                <w:rFonts w:ascii="Times New Roman" w:hAnsi="Times New Roman" w:eastAsia="Times New Roman" w:cs="Times New Roman"/>
                <w:b/>
                <w:i/>
                <w:sz w:val="28"/>
                <w:szCs w:val="28"/>
              </w:rPr>
              <w:t>*</w:t>
            </w:r>
          </w:p>
        </w:tc>
        <w:tc>
          <w:tcPr>
            <w:tcW w:w="0" w:type="auto"/>
            <w:tcBorders>
              <w:top w:val="outset" w:color="auto" w:sz="6" w:space="0"/>
              <w:left w:val="outset" w:color="auto" w:sz="6" w:space="0"/>
              <w:bottom w:val="outset" w:color="auto" w:sz="6" w:space="0"/>
              <w:right w:val="outset" w:color="auto" w:sz="6" w:space="0"/>
            </w:tcBorders>
          </w:tcPr>
          <w:p w14:paraId="4155C379">
            <w:pPr>
              <w:widowControl w:val="0"/>
              <w:autoSpaceDE w:val="0"/>
              <w:autoSpaceDN w:val="0"/>
              <w:spacing w:after="0" w:line="276" w:lineRule="auto"/>
              <w:jc w:val="both"/>
              <w:outlineLvl w:val="0"/>
              <w:rPr>
                <w:rFonts w:ascii="Times New Roman" w:hAnsi="Times New Roman" w:eastAsia="Times New Roman" w:cs="Times New Roman"/>
                <w:b/>
                <w:sz w:val="28"/>
                <w:szCs w:val="28"/>
              </w:rPr>
            </w:pPr>
            <w:r>
              <w:rPr>
                <w:rFonts w:ascii="Times New Roman" w:hAnsi="Times New Roman" w:eastAsia="Times New Roman" w:cs="Times New Roman"/>
                <w:b/>
                <w:sz w:val="28"/>
                <w:szCs w:val="28"/>
              </w:rPr>
              <w:t>–4,244</w:t>
            </w:r>
          </w:p>
        </w:tc>
        <w:tc>
          <w:tcPr>
            <w:tcW w:w="0" w:type="auto"/>
            <w:tcBorders>
              <w:top w:val="outset" w:color="auto" w:sz="6" w:space="0"/>
              <w:left w:val="outset" w:color="auto" w:sz="6" w:space="0"/>
              <w:bottom w:val="outset" w:color="auto" w:sz="6" w:space="0"/>
              <w:right w:val="outset" w:color="auto" w:sz="6" w:space="0"/>
            </w:tcBorders>
          </w:tcPr>
          <w:p w14:paraId="1238DD37">
            <w:pPr>
              <w:widowControl w:val="0"/>
              <w:autoSpaceDE w:val="0"/>
              <w:autoSpaceDN w:val="0"/>
              <w:spacing w:after="0" w:line="276" w:lineRule="auto"/>
              <w:jc w:val="both"/>
              <w:outlineLvl w:val="0"/>
              <w:rPr>
                <w:rFonts w:ascii="Times New Roman" w:hAnsi="Times New Roman" w:eastAsia="Times New Roman" w:cs="Times New Roman"/>
                <w:b/>
                <w:sz w:val="28"/>
                <w:szCs w:val="28"/>
              </w:rPr>
            </w:pPr>
            <w:r>
              <w:rPr>
                <w:rFonts w:ascii="Times New Roman" w:hAnsi="Times New Roman" w:eastAsia="Times New Roman" w:cs="Times New Roman"/>
                <w:b/>
                <w:sz w:val="28"/>
                <w:szCs w:val="28"/>
              </w:rPr>
              <w:t>0,000</w:t>
            </w:r>
            <w:r>
              <w:rPr>
                <w:rFonts w:ascii="Times New Roman" w:hAnsi="Times New Roman" w:eastAsia="Times New Roman" w:cs="Times New Roman"/>
                <w:b/>
                <w:i/>
                <w:sz w:val="28"/>
                <w:szCs w:val="28"/>
              </w:rPr>
              <w:t>*</w:t>
            </w:r>
          </w:p>
        </w:tc>
        <w:tc>
          <w:tcPr>
            <w:tcW w:w="0" w:type="auto"/>
            <w:tcBorders>
              <w:top w:val="outset" w:color="auto" w:sz="6" w:space="0"/>
              <w:left w:val="outset" w:color="auto" w:sz="6" w:space="0"/>
              <w:bottom w:val="outset" w:color="auto" w:sz="6" w:space="0"/>
              <w:right w:val="outset" w:color="auto" w:sz="6" w:space="0"/>
            </w:tcBorders>
          </w:tcPr>
          <w:p w14:paraId="2A8B3BCE">
            <w:pPr>
              <w:widowControl w:val="0"/>
              <w:autoSpaceDE w:val="0"/>
              <w:autoSpaceDN w:val="0"/>
              <w:spacing w:after="0" w:line="276" w:lineRule="auto"/>
              <w:jc w:val="both"/>
              <w:outlineLvl w:val="0"/>
              <w:rPr>
                <w:rFonts w:ascii="Times New Roman" w:hAnsi="Times New Roman" w:eastAsia="Times New Roman" w:cs="Times New Roman"/>
                <w:b/>
                <w:sz w:val="28"/>
                <w:szCs w:val="28"/>
              </w:rPr>
            </w:pPr>
            <w:r>
              <w:rPr>
                <w:rFonts w:ascii="Times New Roman" w:hAnsi="Times New Roman" w:eastAsia="Times New Roman" w:cs="Times New Roman"/>
                <w:b/>
                <w:sz w:val="28"/>
                <w:szCs w:val="28"/>
              </w:rPr>
              <w:t>–4,680</w:t>
            </w:r>
          </w:p>
        </w:tc>
        <w:tc>
          <w:tcPr>
            <w:tcW w:w="0" w:type="auto"/>
            <w:tcBorders>
              <w:top w:val="outset" w:color="auto" w:sz="6" w:space="0"/>
              <w:left w:val="outset" w:color="auto" w:sz="6" w:space="0"/>
              <w:bottom w:val="outset" w:color="auto" w:sz="6" w:space="0"/>
              <w:right w:val="outset" w:color="auto" w:sz="6" w:space="0"/>
            </w:tcBorders>
          </w:tcPr>
          <w:p w14:paraId="3A8229D9">
            <w:pPr>
              <w:widowControl w:val="0"/>
              <w:autoSpaceDE w:val="0"/>
              <w:autoSpaceDN w:val="0"/>
              <w:spacing w:after="0" w:line="276" w:lineRule="auto"/>
              <w:jc w:val="both"/>
              <w:outlineLvl w:val="0"/>
              <w:rPr>
                <w:rFonts w:ascii="Times New Roman" w:hAnsi="Times New Roman" w:eastAsia="Times New Roman" w:cs="Times New Roman"/>
                <w:b/>
                <w:sz w:val="28"/>
                <w:szCs w:val="28"/>
              </w:rPr>
            </w:pPr>
            <w:r>
              <w:rPr>
                <w:rFonts w:ascii="Times New Roman" w:hAnsi="Times New Roman" w:eastAsia="Times New Roman" w:cs="Times New Roman"/>
                <w:b/>
                <w:sz w:val="28"/>
                <w:szCs w:val="28"/>
              </w:rPr>
              <w:t>0,000</w:t>
            </w:r>
            <w:r>
              <w:rPr>
                <w:rFonts w:ascii="Times New Roman" w:hAnsi="Times New Roman" w:eastAsia="Times New Roman" w:cs="Times New Roman"/>
                <w:b/>
                <w:i/>
                <w:sz w:val="28"/>
                <w:szCs w:val="28"/>
              </w:rPr>
              <w:t>*</w:t>
            </w:r>
          </w:p>
        </w:tc>
        <w:tc>
          <w:tcPr>
            <w:tcW w:w="0" w:type="auto"/>
            <w:tcBorders>
              <w:top w:val="outset" w:color="auto" w:sz="6" w:space="0"/>
              <w:left w:val="outset" w:color="auto" w:sz="6" w:space="0"/>
              <w:bottom w:val="outset" w:color="auto" w:sz="6" w:space="0"/>
              <w:right w:val="outset" w:color="auto" w:sz="6" w:space="0"/>
            </w:tcBorders>
          </w:tcPr>
          <w:p w14:paraId="2E8C45C5">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–0,627</w:t>
            </w:r>
          </w:p>
        </w:tc>
        <w:tc>
          <w:tcPr>
            <w:tcW w:w="0" w:type="auto"/>
            <w:tcBorders>
              <w:top w:val="outset" w:color="auto" w:sz="6" w:space="0"/>
              <w:left w:val="outset" w:color="auto" w:sz="6" w:space="0"/>
              <w:bottom w:val="outset" w:color="auto" w:sz="6" w:space="0"/>
              <w:right w:val="outset" w:color="auto" w:sz="6" w:space="0"/>
            </w:tcBorders>
          </w:tcPr>
          <w:p w14:paraId="565D6B89">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0,531</w:t>
            </w:r>
          </w:p>
        </w:tc>
        <w:tc>
          <w:tcPr>
            <w:tcW w:w="0" w:type="auto"/>
            <w:tcBorders>
              <w:top w:val="outset" w:color="auto" w:sz="6" w:space="0"/>
              <w:left w:val="outset" w:color="auto" w:sz="6" w:space="0"/>
              <w:bottom w:val="outset" w:color="auto" w:sz="6" w:space="0"/>
              <w:right w:val="outset" w:color="auto" w:sz="6" w:space="0"/>
            </w:tcBorders>
          </w:tcPr>
          <w:p w14:paraId="58F33FDC">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–1,379</w:t>
            </w:r>
          </w:p>
        </w:tc>
        <w:tc>
          <w:tcPr>
            <w:tcW w:w="0" w:type="auto"/>
            <w:tcBorders>
              <w:top w:val="outset" w:color="auto" w:sz="6" w:space="0"/>
              <w:left w:val="outset" w:color="auto" w:sz="6" w:space="0"/>
              <w:bottom w:val="outset" w:color="auto" w:sz="6" w:space="0"/>
              <w:right w:val="outset" w:color="auto" w:sz="6" w:space="0"/>
            </w:tcBorders>
          </w:tcPr>
          <w:p w14:paraId="06E5B3A4">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0,168</w:t>
            </w:r>
          </w:p>
        </w:tc>
        <w:tc>
          <w:tcPr>
            <w:tcW w:w="0" w:type="auto"/>
            <w:tcBorders>
              <w:top w:val="outset" w:color="auto" w:sz="6" w:space="0"/>
              <w:left w:val="outset" w:color="auto" w:sz="6" w:space="0"/>
              <w:bottom w:val="outset" w:color="auto" w:sz="6" w:space="0"/>
              <w:right w:val="outset" w:color="auto" w:sz="6" w:space="0"/>
            </w:tcBorders>
          </w:tcPr>
          <w:p w14:paraId="35295074">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–1,404</w:t>
            </w:r>
          </w:p>
        </w:tc>
        <w:tc>
          <w:tcPr>
            <w:tcW w:w="0" w:type="auto"/>
            <w:tcBorders>
              <w:top w:val="outset" w:color="auto" w:sz="6" w:space="0"/>
              <w:left w:val="outset" w:color="auto" w:sz="6" w:space="0"/>
              <w:bottom w:val="outset" w:color="auto" w:sz="6" w:space="0"/>
              <w:right w:val="outset" w:color="auto" w:sz="6" w:space="0"/>
            </w:tcBorders>
          </w:tcPr>
          <w:p w14:paraId="0D003C9F">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0,160</w:t>
            </w:r>
          </w:p>
        </w:tc>
      </w:tr>
      <w:tr w14:paraId="6D106135">
        <w:tblPrEx>
          <w:tblCellMar>
            <w:top w:w="15" w:type="dxa"/>
            <w:left w:w="15" w:type="dxa"/>
            <w:bottom w:w="15" w:type="dxa"/>
            <w:right w:w="15" w:type="dxa"/>
          </w:tblCellMar>
        </w:tblPrEx>
        <w:tc>
          <w:tcPr>
            <w:tcW w:w="0" w:type="auto"/>
            <w:tcBorders>
              <w:top w:val="nil"/>
              <w:left w:val="outset" w:color="auto" w:sz="6" w:space="0"/>
              <w:bottom w:val="outset" w:color="auto" w:sz="6" w:space="0"/>
              <w:right w:val="outset" w:color="auto" w:sz="6" w:space="0"/>
            </w:tcBorders>
          </w:tcPr>
          <w:p w14:paraId="0C0AB85E">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Лейкоциттер</w:t>
            </w:r>
          </w:p>
        </w:tc>
        <w:tc>
          <w:tcPr>
            <w:tcW w:w="0" w:type="auto"/>
            <w:tcBorders>
              <w:top w:val="nil"/>
              <w:left w:val="outset" w:color="auto" w:sz="6" w:space="0"/>
              <w:bottom w:val="outset" w:color="auto" w:sz="6" w:space="0"/>
              <w:right w:val="outset" w:color="auto" w:sz="6" w:space="0"/>
            </w:tcBorders>
          </w:tcPr>
          <w:p w14:paraId="124F95F0">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–0,789</w:t>
            </w:r>
          </w:p>
        </w:tc>
        <w:tc>
          <w:tcPr>
            <w:tcW w:w="0" w:type="auto"/>
            <w:tcBorders>
              <w:top w:val="nil"/>
              <w:left w:val="outset" w:color="auto" w:sz="6" w:space="0"/>
              <w:bottom w:val="outset" w:color="auto" w:sz="6" w:space="0"/>
              <w:right w:val="outset" w:color="auto" w:sz="6" w:space="0"/>
            </w:tcBorders>
          </w:tcPr>
          <w:p w14:paraId="1237DCFA">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0,430</w:t>
            </w:r>
          </w:p>
        </w:tc>
        <w:tc>
          <w:tcPr>
            <w:tcW w:w="0" w:type="auto"/>
            <w:tcBorders>
              <w:top w:val="nil"/>
              <w:left w:val="outset" w:color="auto" w:sz="6" w:space="0"/>
              <w:bottom w:val="outset" w:color="auto" w:sz="6" w:space="0"/>
              <w:right w:val="outset" w:color="auto" w:sz="6" w:space="0"/>
            </w:tcBorders>
          </w:tcPr>
          <w:p w14:paraId="04250C8F">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–1,156</w:t>
            </w:r>
          </w:p>
        </w:tc>
        <w:tc>
          <w:tcPr>
            <w:tcW w:w="0" w:type="auto"/>
            <w:tcBorders>
              <w:top w:val="nil"/>
              <w:left w:val="outset" w:color="auto" w:sz="6" w:space="0"/>
              <w:bottom w:val="outset" w:color="auto" w:sz="6" w:space="0"/>
              <w:right w:val="outset" w:color="auto" w:sz="6" w:space="0"/>
            </w:tcBorders>
          </w:tcPr>
          <w:p w14:paraId="1C5F8419">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0,248</w:t>
            </w:r>
          </w:p>
        </w:tc>
        <w:tc>
          <w:tcPr>
            <w:tcW w:w="0" w:type="auto"/>
            <w:tcBorders>
              <w:top w:val="nil"/>
              <w:left w:val="outset" w:color="auto" w:sz="6" w:space="0"/>
              <w:bottom w:val="outset" w:color="auto" w:sz="6" w:space="0"/>
              <w:right w:val="outset" w:color="auto" w:sz="6" w:space="0"/>
            </w:tcBorders>
          </w:tcPr>
          <w:p w14:paraId="175B64C3">
            <w:pPr>
              <w:widowControl w:val="0"/>
              <w:autoSpaceDE w:val="0"/>
              <w:autoSpaceDN w:val="0"/>
              <w:spacing w:after="0" w:line="276" w:lineRule="auto"/>
              <w:jc w:val="both"/>
              <w:outlineLvl w:val="0"/>
              <w:rPr>
                <w:rFonts w:ascii="Times New Roman" w:hAnsi="Times New Roman" w:eastAsia="Times New Roman" w:cs="Times New Roman"/>
                <w:b/>
                <w:sz w:val="28"/>
                <w:szCs w:val="28"/>
              </w:rPr>
            </w:pPr>
            <w:r>
              <w:rPr>
                <w:rFonts w:ascii="Times New Roman" w:hAnsi="Times New Roman" w:eastAsia="Times New Roman" w:cs="Times New Roman"/>
                <w:b/>
                <w:sz w:val="28"/>
                <w:szCs w:val="28"/>
              </w:rPr>
              <w:t>–2,389</w:t>
            </w:r>
          </w:p>
        </w:tc>
        <w:tc>
          <w:tcPr>
            <w:tcW w:w="0" w:type="auto"/>
            <w:tcBorders>
              <w:top w:val="nil"/>
              <w:left w:val="outset" w:color="auto" w:sz="6" w:space="0"/>
              <w:bottom w:val="outset" w:color="auto" w:sz="6" w:space="0"/>
              <w:right w:val="outset" w:color="auto" w:sz="6" w:space="0"/>
            </w:tcBorders>
          </w:tcPr>
          <w:p w14:paraId="283550BA">
            <w:pPr>
              <w:widowControl w:val="0"/>
              <w:autoSpaceDE w:val="0"/>
              <w:autoSpaceDN w:val="0"/>
              <w:spacing w:after="0" w:line="276" w:lineRule="auto"/>
              <w:jc w:val="both"/>
              <w:outlineLvl w:val="0"/>
              <w:rPr>
                <w:rFonts w:ascii="Times New Roman" w:hAnsi="Times New Roman" w:eastAsia="Times New Roman" w:cs="Times New Roman"/>
                <w:b/>
                <w:sz w:val="28"/>
                <w:szCs w:val="28"/>
              </w:rPr>
            </w:pPr>
            <w:r>
              <w:rPr>
                <w:rFonts w:ascii="Times New Roman" w:hAnsi="Times New Roman" w:eastAsia="Times New Roman" w:cs="Times New Roman"/>
                <w:b/>
                <w:sz w:val="28"/>
                <w:szCs w:val="28"/>
              </w:rPr>
              <w:t>0,017</w:t>
            </w:r>
            <w:r>
              <w:rPr>
                <w:rFonts w:ascii="Times New Roman" w:hAnsi="Times New Roman" w:eastAsia="Times New Roman" w:cs="Times New Roman"/>
                <w:b/>
                <w:i/>
                <w:sz w:val="28"/>
                <w:szCs w:val="28"/>
              </w:rPr>
              <w:t>*</w:t>
            </w:r>
          </w:p>
        </w:tc>
        <w:tc>
          <w:tcPr>
            <w:tcW w:w="0" w:type="auto"/>
            <w:tcBorders>
              <w:top w:val="nil"/>
              <w:left w:val="outset" w:color="auto" w:sz="6" w:space="0"/>
              <w:bottom w:val="outset" w:color="auto" w:sz="6" w:space="0"/>
              <w:right w:val="outset" w:color="auto" w:sz="6" w:space="0"/>
            </w:tcBorders>
          </w:tcPr>
          <w:p w14:paraId="2066B8C7">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–0,318</w:t>
            </w:r>
          </w:p>
        </w:tc>
        <w:tc>
          <w:tcPr>
            <w:tcW w:w="0" w:type="auto"/>
            <w:tcBorders>
              <w:top w:val="nil"/>
              <w:left w:val="outset" w:color="auto" w:sz="6" w:space="0"/>
              <w:bottom w:val="outset" w:color="auto" w:sz="6" w:space="0"/>
              <w:right w:val="outset" w:color="auto" w:sz="6" w:space="0"/>
            </w:tcBorders>
          </w:tcPr>
          <w:p w14:paraId="1FCB6F87">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0,751</w:t>
            </w:r>
          </w:p>
        </w:tc>
        <w:tc>
          <w:tcPr>
            <w:tcW w:w="0" w:type="auto"/>
            <w:tcBorders>
              <w:top w:val="nil"/>
              <w:left w:val="outset" w:color="auto" w:sz="6" w:space="0"/>
              <w:bottom w:val="outset" w:color="auto" w:sz="6" w:space="0"/>
              <w:right w:val="outset" w:color="auto" w:sz="6" w:space="0"/>
            </w:tcBorders>
          </w:tcPr>
          <w:p w14:paraId="5A826196">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–1,750</w:t>
            </w:r>
          </w:p>
        </w:tc>
        <w:tc>
          <w:tcPr>
            <w:tcW w:w="0" w:type="auto"/>
            <w:tcBorders>
              <w:top w:val="nil"/>
              <w:left w:val="outset" w:color="auto" w:sz="6" w:space="0"/>
              <w:bottom w:val="outset" w:color="auto" w:sz="6" w:space="0"/>
              <w:right w:val="outset" w:color="auto" w:sz="6" w:space="0"/>
            </w:tcBorders>
          </w:tcPr>
          <w:p w14:paraId="56E6A5A3">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0,080</w:t>
            </w:r>
          </w:p>
        </w:tc>
        <w:tc>
          <w:tcPr>
            <w:tcW w:w="0" w:type="auto"/>
            <w:tcBorders>
              <w:top w:val="nil"/>
              <w:left w:val="outset" w:color="auto" w:sz="6" w:space="0"/>
              <w:bottom w:val="outset" w:color="auto" w:sz="6" w:space="0"/>
              <w:right w:val="outset" w:color="auto" w:sz="6" w:space="0"/>
            </w:tcBorders>
          </w:tcPr>
          <w:p w14:paraId="696D3880">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–1,590</w:t>
            </w:r>
          </w:p>
        </w:tc>
        <w:tc>
          <w:tcPr>
            <w:tcW w:w="0" w:type="auto"/>
            <w:tcBorders>
              <w:top w:val="nil"/>
              <w:left w:val="outset" w:color="auto" w:sz="6" w:space="0"/>
              <w:bottom w:val="outset" w:color="auto" w:sz="6" w:space="0"/>
              <w:right w:val="outset" w:color="auto" w:sz="6" w:space="0"/>
            </w:tcBorders>
          </w:tcPr>
          <w:p w14:paraId="1E1D81FC">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0,112</w:t>
            </w:r>
          </w:p>
        </w:tc>
      </w:tr>
      <w:tr w14:paraId="7C7D7D9D">
        <w:tblPrEx>
          <w:tblCellMar>
            <w:top w:w="15" w:type="dxa"/>
            <w:left w:w="15" w:type="dxa"/>
            <w:bottom w:w="15" w:type="dxa"/>
            <w:right w:w="15" w:type="dxa"/>
          </w:tblCellMar>
        </w:tblPrEx>
        <w:tc>
          <w:tcPr>
            <w:tcW w:w="0" w:type="auto"/>
            <w:tcBorders>
              <w:top w:val="nil"/>
              <w:left w:val="outset" w:color="auto" w:sz="6" w:space="0"/>
              <w:bottom w:val="outset" w:color="auto" w:sz="6" w:space="0"/>
              <w:right w:val="outset" w:color="auto" w:sz="6" w:space="0"/>
            </w:tcBorders>
          </w:tcPr>
          <w:p w14:paraId="286E2518">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Лимфоциттер</w:t>
            </w:r>
          </w:p>
        </w:tc>
        <w:tc>
          <w:tcPr>
            <w:tcW w:w="0" w:type="auto"/>
            <w:tcBorders>
              <w:top w:val="nil"/>
              <w:left w:val="outset" w:color="auto" w:sz="6" w:space="0"/>
              <w:bottom w:val="outset" w:color="auto" w:sz="6" w:space="0"/>
              <w:right w:val="outset" w:color="auto" w:sz="6" w:space="0"/>
            </w:tcBorders>
          </w:tcPr>
          <w:p w14:paraId="2491C07E">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–1,497</w:t>
            </w:r>
          </w:p>
        </w:tc>
        <w:tc>
          <w:tcPr>
            <w:tcW w:w="0" w:type="auto"/>
            <w:tcBorders>
              <w:top w:val="nil"/>
              <w:left w:val="outset" w:color="auto" w:sz="6" w:space="0"/>
              <w:bottom w:val="outset" w:color="auto" w:sz="6" w:space="0"/>
              <w:right w:val="outset" w:color="auto" w:sz="6" w:space="0"/>
            </w:tcBorders>
          </w:tcPr>
          <w:p w14:paraId="06927326">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0,134</w:t>
            </w:r>
          </w:p>
        </w:tc>
        <w:tc>
          <w:tcPr>
            <w:tcW w:w="0" w:type="auto"/>
            <w:tcBorders>
              <w:top w:val="nil"/>
              <w:left w:val="outset" w:color="auto" w:sz="6" w:space="0"/>
              <w:bottom w:val="outset" w:color="auto" w:sz="6" w:space="0"/>
              <w:right w:val="outset" w:color="auto" w:sz="6" w:space="0"/>
            </w:tcBorders>
          </w:tcPr>
          <w:p w14:paraId="3B583652">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0,290</w:t>
            </w:r>
          </w:p>
        </w:tc>
        <w:tc>
          <w:tcPr>
            <w:tcW w:w="0" w:type="auto"/>
            <w:tcBorders>
              <w:top w:val="nil"/>
              <w:left w:val="outset" w:color="auto" w:sz="6" w:space="0"/>
              <w:bottom w:val="outset" w:color="auto" w:sz="6" w:space="0"/>
              <w:right w:val="outset" w:color="auto" w:sz="6" w:space="0"/>
            </w:tcBorders>
          </w:tcPr>
          <w:p w14:paraId="4228C680">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lang w:eastAsia="ru-RU"/>
              </w:rPr>
              <w:drawing>
                <wp:inline distT="0" distB="0" distL="0" distR="0">
                  <wp:extent cx="13970" cy="13970"/>
                  <wp:effectExtent l="0" t="0" r="0" b="0"/>
                  <wp:docPr id="97" name="Рисунок 97" descr="C:\Users\kgmuuser\AppData\Local\Temp\ksohtml7396\wps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Рисунок 97" descr="C:\Users\kgmuuser\AppData\Local\Temp\ksohtml7396\wps13.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0" y="0"/>
                            <a:ext cx="13970" cy="13970"/>
                          </a:xfrm>
                          <a:prstGeom prst="rect">
                            <a:avLst/>
                          </a:prstGeom>
                          <a:noFill/>
                          <a:ln>
                            <a:noFill/>
                          </a:ln>
                        </pic:spPr>
                      </pic:pic>
                    </a:graphicData>
                  </a:graphic>
                </wp:inline>
              </w:drawing>
            </w:r>
            <w:r>
              <w:rPr>
                <w:rFonts w:ascii="Times New Roman" w:hAnsi="Times New Roman" w:eastAsia="Times New Roman" w:cs="Times New Roman"/>
                <w:sz w:val="28"/>
                <w:szCs w:val="28"/>
              </w:rPr>
              <w:t>0,772</w:t>
            </w:r>
          </w:p>
        </w:tc>
        <w:tc>
          <w:tcPr>
            <w:tcW w:w="0" w:type="auto"/>
            <w:tcBorders>
              <w:top w:val="nil"/>
              <w:left w:val="outset" w:color="auto" w:sz="6" w:space="0"/>
              <w:bottom w:val="outset" w:color="auto" w:sz="6" w:space="0"/>
              <w:right w:val="outset" w:color="auto" w:sz="6" w:space="0"/>
            </w:tcBorders>
          </w:tcPr>
          <w:p w14:paraId="3153E6C1">
            <w:pPr>
              <w:widowControl w:val="0"/>
              <w:autoSpaceDE w:val="0"/>
              <w:autoSpaceDN w:val="0"/>
              <w:spacing w:after="0" w:line="276" w:lineRule="auto"/>
              <w:jc w:val="both"/>
              <w:outlineLvl w:val="0"/>
              <w:rPr>
                <w:rFonts w:ascii="Times New Roman" w:hAnsi="Times New Roman" w:eastAsia="Times New Roman" w:cs="Times New Roman"/>
                <w:b/>
                <w:sz w:val="28"/>
                <w:szCs w:val="28"/>
              </w:rPr>
            </w:pPr>
            <w:r>
              <w:rPr>
                <w:rFonts w:ascii="Times New Roman" w:hAnsi="Times New Roman" w:eastAsia="Times New Roman" w:cs="Times New Roman"/>
                <w:b/>
                <w:sz w:val="28"/>
                <w:szCs w:val="28"/>
              </w:rPr>
              <w:t>2,343</w:t>
            </w:r>
          </w:p>
        </w:tc>
        <w:tc>
          <w:tcPr>
            <w:tcW w:w="0" w:type="auto"/>
            <w:tcBorders>
              <w:top w:val="nil"/>
              <w:left w:val="outset" w:color="auto" w:sz="6" w:space="0"/>
              <w:bottom w:val="outset" w:color="auto" w:sz="6" w:space="0"/>
              <w:right w:val="outset" w:color="auto" w:sz="6" w:space="0"/>
            </w:tcBorders>
          </w:tcPr>
          <w:p w14:paraId="7AC8542C">
            <w:pPr>
              <w:widowControl w:val="0"/>
              <w:autoSpaceDE w:val="0"/>
              <w:autoSpaceDN w:val="0"/>
              <w:spacing w:after="0" w:line="276" w:lineRule="auto"/>
              <w:jc w:val="both"/>
              <w:outlineLvl w:val="0"/>
              <w:rPr>
                <w:rFonts w:ascii="Times New Roman" w:hAnsi="Times New Roman" w:eastAsia="Times New Roman" w:cs="Times New Roman"/>
                <w:b/>
                <w:sz w:val="28"/>
                <w:szCs w:val="28"/>
              </w:rPr>
            </w:pPr>
            <w:r>
              <w:rPr>
                <w:rFonts w:ascii="Times New Roman" w:hAnsi="Times New Roman" w:eastAsia="Times New Roman" w:cs="Times New Roman"/>
                <w:b/>
                <w:sz w:val="28"/>
                <w:szCs w:val="28"/>
              </w:rPr>
              <w:t>0,019</w:t>
            </w:r>
            <w:r>
              <w:rPr>
                <w:rFonts w:ascii="Times New Roman" w:hAnsi="Times New Roman" w:eastAsia="Times New Roman" w:cs="Times New Roman"/>
                <w:b/>
                <w:i/>
                <w:sz w:val="28"/>
                <w:szCs w:val="28"/>
              </w:rPr>
              <w:t>*</w:t>
            </w:r>
          </w:p>
        </w:tc>
        <w:tc>
          <w:tcPr>
            <w:tcW w:w="0" w:type="auto"/>
            <w:tcBorders>
              <w:top w:val="nil"/>
              <w:left w:val="outset" w:color="auto" w:sz="6" w:space="0"/>
              <w:bottom w:val="outset" w:color="auto" w:sz="6" w:space="0"/>
              <w:right w:val="outset" w:color="auto" w:sz="6" w:space="0"/>
            </w:tcBorders>
          </w:tcPr>
          <w:p w14:paraId="725228EC">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1,869</w:t>
            </w:r>
          </w:p>
        </w:tc>
        <w:tc>
          <w:tcPr>
            <w:tcW w:w="0" w:type="auto"/>
            <w:tcBorders>
              <w:top w:val="nil"/>
              <w:left w:val="outset" w:color="auto" w:sz="6" w:space="0"/>
              <w:bottom w:val="outset" w:color="auto" w:sz="6" w:space="0"/>
              <w:right w:val="outset" w:color="auto" w:sz="6" w:space="0"/>
            </w:tcBorders>
          </w:tcPr>
          <w:p w14:paraId="54F8D933">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0,062</w:t>
            </w:r>
          </w:p>
        </w:tc>
        <w:tc>
          <w:tcPr>
            <w:tcW w:w="0" w:type="auto"/>
            <w:tcBorders>
              <w:top w:val="nil"/>
              <w:left w:val="outset" w:color="auto" w:sz="6" w:space="0"/>
              <w:bottom w:val="outset" w:color="auto" w:sz="6" w:space="0"/>
              <w:right w:val="outset" w:color="auto" w:sz="6" w:space="0"/>
            </w:tcBorders>
          </w:tcPr>
          <w:p w14:paraId="69B14FEB">
            <w:pPr>
              <w:widowControl w:val="0"/>
              <w:autoSpaceDE w:val="0"/>
              <w:autoSpaceDN w:val="0"/>
              <w:spacing w:after="0" w:line="276" w:lineRule="auto"/>
              <w:jc w:val="both"/>
              <w:outlineLvl w:val="0"/>
              <w:rPr>
                <w:rFonts w:ascii="Times New Roman" w:hAnsi="Times New Roman" w:eastAsia="Times New Roman" w:cs="Times New Roman"/>
                <w:b/>
                <w:sz w:val="28"/>
                <w:szCs w:val="28"/>
              </w:rPr>
            </w:pPr>
            <w:r>
              <w:rPr>
                <w:rFonts w:ascii="Times New Roman" w:hAnsi="Times New Roman" w:eastAsia="Times New Roman" w:cs="Times New Roman"/>
                <w:b/>
                <w:sz w:val="28"/>
                <w:szCs w:val="28"/>
              </w:rPr>
              <w:t>3,549</w:t>
            </w:r>
          </w:p>
        </w:tc>
        <w:tc>
          <w:tcPr>
            <w:tcW w:w="0" w:type="auto"/>
            <w:tcBorders>
              <w:top w:val="nil"/>
              <w:left w:val="outset" w:color="auto" w:sz="6" w:space="0"/>
              <w:bottom w:val="outset" w:color="auto" w:sz="6" w:space="0"/>
              <w:right w:val="outset" w:color="auto" w:sz="6" w:space="0"/>
            </w:tcBorders>
          </w:tcPr>
          <w:p w14:paraId="5253D4C5">
            <w:pPr>
              <w:widowControl w:val="0"/>
              <w:autoSpaceDE w:val="0"/>
              <w:autoSpaceDN w:val="0"/>
              <w:spacing w:after="0" w:line="276" w:lineRule="auto"/>
              <w:jc w:val="both"/>
              <w:outlineLvl w:val="0"/>
              <w:rPr>
                <w:rFonts w:ascii="Times New Roman" w:hAnsi="Times New Roman" w:eastAsia="Times New Roman" w:cs="Times New Roman"/>
                <w:b/>
                <w:sz w:val="28"/>
                <w:szCs w:val="28"/>
              </w:rPr>
            </w:pPr>
            <w:r>
              <w:rPr>
                <w:rFonts w:ascii="Times New Roman" w:hAnsi="Times New Roman" w:eastAsia="Times New Roman" w:cs="Times New Roman"/>
                <w:b/>
                <w:sz w:val="28"/>
                <w:szCs w:val="28"/>
              </w:rPr>
              <w:t>0,000</w:t>
            </w:r>
            <w:r>
              <w:rPr>
                <w:rFonts w:ascii="Times New Roman" w:hAnsi="Times New Roman" w:eastAsia="Times New Roman" w:cs="Times New Roman"/>
                <w:b/>
                <w:i/>
                <w:sz w:val="28"/>
                <w:szCs w:val="28"/>
              </w:rPr>
              <w:t>*</w:t>
            </w:r>
          </w:p>
        </w:tc>
        <w:tc>
          <w:tcPr>
            <w:tcW w:w="0" w:type="auto"/>
            <w:tcBorders>
              <w:top w:val="nil"/>
              <w:left w:val="outset" w:color="auto" w:sz="6" w:space="0"/>
              <w:bottom w:val="outset" w:color="auto" w:sz="6" w:space="0"/>
              <w:right w:val="outset" w:color="auto" w:sz="6" w:space="0"/>
            </w:tcBorders>
          </w:tcPr>
          <w:p w14:paraId="751660B5">
            <w:pPr>
              <w:widowControl w:val="0"/>
              <w:autoSpaceDE w:val="0"/>
              <w:autoSpaceDN w:val="0"/>
              <w:spacing w:after="0" w:line="276" w:lineRule="auto"/>
              <w:jc w:val="both"/>
              <w:outlineLvl w:val="0"/>
              <w:rPr>
                <w:rFonts w:ascii="Times New Roman" w:hAnsi="Times New Roman" w:eastAsia="Times New Roman" w:cs="Times New Roman"/>
                <w:b/>
                <w:sz w:val="28"/>
                <w:szCs w:val="28"/>
              </w:rPr>
            </w:pPr>
            <w:r>
              <w:rPr>
                <w:rFonts w:ascii="Times New Roman" w:hAnsi="Times New Roman" w:eastAsia="Times New Roman" w:cs="Times New Roman"/>
                <w:b/>
                <w:sz w:val="28"/>
                <w:szCs w:val="28"/>
              </w:rPr>
              <w:t>2,259</w:t>
            </w:r>
          </w:p>
        </w:tc>
        <w:tc>
          <w:tcPr>
            <w:tcW w:w="0" w:type="auto"/>
            <w:tcBorders>
              <w:top w:val="nil"/>
              <w:left w:val="outset" w:color="auto" w:sz="6" w:space="0"/>
              <w:bottom w:val="outset" w:color="auto" w:sz="6" w:space="0"/>
              <w:right w:val="outset" w:color="auto" w:sz="6" w:space="0"/>
            </w:tcBorders>
          </w:tcPr>
          <w:p w14:paraId="7688E31B">
            <w:pPr>
              <w:widowControl w:val="0"/>
              <w:autoSpaceDE w:val="0"/>
              <w:autoSpaceDN w:val="0"/>
              <w:spacing w:after="0" w:line="276" w:lineRule="auto"/>
              <w:jc w:val="both"/>
              <w:outlineLvl w:val="0"/>
              <w:rPr>
                <w:rFonts w:ascii="Times New Roman" w:hAnsi="Times New Roman" w:eastAsia="Times New Roman" w:cs="Times New Roman"/>
                <w:b/>
                <w:sz w:val="28"/>
                <w:szCs w:val="28"/>
              </w:rPr>
            </w:pPr>
            <w:r>
              <w:rPr>
                <w:rFonts w:ascii="Times New Roman" w:hAnsi="Times New Roman" w:eastAsia="Times New Roman" w:cs="Times New Roman"/>
                <w:b/>
                <w:sz w:val="28"/>
                <w:szCs w:val="28"/>
              </w:rPr>
              <w:t>0,024</w:t>
            </w:r>
            <w:r>
              <w:rPr>
                <w:rFonts w:ascii="Times New Roman" w:hAnsi="Times New Roman" w:eastAsia="Times New Roman" w:cs="Times New Roman"/>
                <w:b/>
                <w:i/>
                <w:sz w:val="28"/>
                <w:szCs w:val="28"/>
              </w:rPr>
              <w:t>*</w:t>
            </w:r>
          </w:p>
        </w:tc>
      </w:tr>
      <w:tr w14:paraId="6081262F">
        <w:tblPrEx>
          <w:tblCellMar>
            <w:top w:w="15" w:type="dxa"/>
            <w:left w:w="15" w:type="dxa"/>
            <w:bottom w:w="15" w:type="dxa"/>
            <w:right w:w="15" w:type="dxa"/>
          </w:tblCellMar>
        </w:tblPrEx>
        <w:tc>
          <w:tcPr>
            <w:tcW w:w="0" w:type="auto"/>
            <w:tcBorders>
              <w:top w:val="nil"/>
              <w:left w:val="outset" w:color="auto" w:sz="6" w:space="0"/>
              <w:bottom w:val="outset" w:color="auto" w:sz="6" w:space="0"/>
              <w:right w:val="outset" w:color="auto" w:sz="6" w:space="0"/>
            </w:tcBorders>
          </w:tcPr>
          <w:p w14:paraId="7548E525">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Таяқша ядролық нейтрофилдер</w:t>
            </w:r>
          </w:p>
        </w:tc>
        <w:tc>
          <w:tcPr>
            <w:tcW w:w="0" w:type="auto"/>
            <w:tcBorders>
              <w:top w:val="nil"/>
              <w:left w:val="outset" w:color="auto" w:sz="6" w:space="0"/>
              <w:bottom w:val="outset" w:color="auto" w:sz="6" w:space="0"/>
              <w:right w:val="outset" w:color="auto" w:sz="6" w:space="0"/>
            </w:tcBorders>
          </w:tcPr>
          <w:p w14:paraId="088BB90D">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1,287</w:t>
            </w:r>
          </w:p>
        </w:tc>
        <w:tc>
          <w:tcPr>
            <w:tcW w:w="0" w:type="auto"/>
            <w:tcBorders>
              <w:top w:val="nil"/>
              <w:left w:val="outset" w:color="auto" w:sz="6" w:space="0"/>
              <w:bottom w:val="outset" w:color="auto" w:sz="6" w:space="0"/>
              <w:right w:val="outset" w:color="auto" w:sz="6" w:space="0"/>
            </w:tcBorders>
          </w:tcPr>
          <w:p w14:paraId="7346DDE5">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0,198</w:t>
            </w:r>
          </w:p>
        </w:tc>
        <w:tc>
          <w:tcPr>
            <w:tcW w:w="0" w:type="auto"/>
            <w:tcBorders>
              <w:top w:val="nil"/>
              <w:left w:val="outset" w:color="auto" w:sz="6" w:space="0"/>
              <w:bottom w:val="outset" w:color="auto" w:sz="6" w:space="0"/>
              <w:right w:val="outset" w:color="auto" w:sz="6" w:space="0"/>
            </w:tcBorders>
          </w:tcPr>
          <w:p w14:paraId="00BB808C">
            <w:pPr>
              <w:widowControl w:val="0"/>
              <w:autoSpaceDE w:val="0"/>
              <w:autoSpaceDN w:val="0"/>
              <w:spacing w:after="0" w:line="276" w:lineRule="auto"/>
              <w:jc w:val="both"/>
              <w:outlineLvl w:val="0"/>
              <w:rPr>
                <w:rFonts w:ascii="Times New Roman" w:hAnsi="Times New Roman" w:eastAsia="Times New Roman" w:cs="Times New Roman"/>
                <w:b/>
                <w:sz w:val="28"/>
                <w:szCs w:val="28"/>
              </w:rPr>
            </w:pPr>
            <w:r>
              <w:rPr>
                <w:rFonts w:ascii="Times New Roman" w:hAnsi="Times New Roman" w:eastAsia="Times New Roman" w:cs="Times New Roman"/>
                <w:b/>
                <w:sz w:val="28"/>
                <w:szCs w:val="28"/>
              </w:rPr>
              <w:t>–3,231</w:t>
            </w:r>
          </w:p>
        </w:tc>
        <w:tc>
          <w:tcPr>
            <w:tcW w:w="0" w:type="auto"/>
            <w:tcBorders>
              <w:top w:val="nil"/>
              <w:left w:val="outset" w:color="auto" w:sz="6" w:space="0"/>
              <w:bottom w:val="outset" w:color="auto" w:sz="6" w:space="0"/>
              <w:right w:val="outset" w:color="auto" w:sz="6" w:space="0"/>
            </w:tcBorders>
          </w:tcPr>
          <w:p w14:paraId="343F3322">
            <w:pPr>
              <w:widowControl w:val="0"/>
              <w:autoSpaceDE w:val="0"/>
              <w:autoSpaceDN w:val="0"/>
              <w:spacing w:after="0" w:line="276" w:lineRule="auto"/>
              <w:jc w:val="both"/>
              <w:outlineLvl w:val="0"/>
              <w:rPr>
                <w:rFonts w:ascii="Times New Roman" w:hAnsi="Times New Roman" w:eastAsia="Times New Roman" w:cs="Times New Roman"/>
                <w:b/>
                <w:sz w:val="28"/>
                <w:szCs w:val="28"/>
              </w:rPr>
            </w:pPr>
            <w:r>
              <w:rPr>
                <w:rFonts w:ascii="Times New Roman" w:hAnsi="Times New Roman" w:eastAsia="Times New Roman" w:cs="Times New Roman"/>
                <w:b/>
                <w:sz w:val="28"/>
                <w:szCs w:val="28"/>
              </w:rPr>
              <w:t>0,001</w:t>
            </w:r>
            <w:r>
              <w:rPr>
                <w:rFonts w:ascii="Times New Roman" w:hAnsi="Times New Roman" w:eastAsia="Times New Roman" w:cs="Times New Roman"/>
                <w:b/>
                <w:i/>
                <w:sz w:val="28"/>
                <w:szCs w:val="28"/>
              </w:rPr>
              <w:t>*</w:t>
            </w:r>
          </w:p>
        </w:tc>
        <w:tc>
          <w:tcPr>
            <w:tcW w:w="0" w:type="auto"/>
            <w:tcBorders>
              <w:top w:val="nil"/>
              <w:left w:val="outset" w:color="auto" w:sz="6" w:space="0"/>
              <w:bottom w:val="outset" w:color="auto" w:sz="6" w:space="0"/>
              <w:right w:val="outset" w:color="auto" w:sz="6" w:space="0"/>
            </w:tcBorders>
          </w:tcPr>
          <w:p w14:paraId="779962A3">
            <w:pPr>
              <w:widowControl w:val="0"/>
              <w:autoSpaceDE w:val="0"/>
              <w:autoSpaceDN w:val="0"/>
              <w:spacing w:after="0" w:line="276" w:lineRule="auto"/>
              <w:jc w:val="both"/>
              <w:outlineLvl w:val="0"/>
              <w:rPr>
                <w:rFonts w:ascii="Times New Roman" w:hAnsi="Times New Roman" w:eastAsia="Times New Roman" w:cs="Times New Roman"/>
                <w:b/>
                <w:sz w:val="28"/>
                <w:szCs w:val="28"/>
              </w:rPr>
            </w:pPr>
            <w:r>
              <w:rPr>
                <w:rFonts w:ascii="Times New Roman" w:hAnsi="Times New Roman" w:eastAsia="Times New Roman" w:cs="Times New Roman"/>
                <w:b/>
                <w:sz w:val="28"/>
                <w:szCs w:val="28"/>
              </w:rPr>
              <w:t>–3,753</w:t>
            </w:r>
          </w:p>
        </w:tc>
        <w:tc>
          <w:tcPr>
            <w:tcW w:w="0" w:type="auto"/>
            <w:tcBorders>
              <w:top w:val="nil"/>
              <w:left w:val="outset" w:color="auto" w:sz="6" w:space="0"/>
              <w:bottom w:val="outset" w:color="auto" w:sz="6" w:space="0"/>
              <w:right w:val="outset" w:color="auto" w:sz="6" w:space="0"/>
            </w:tcBorders>
          </w:tcPr>
          <w:p w14:paraId="5269F0E7">
            <w:pPr>
              <w:widowControl w:val="0"/>
              <w:autoSpaceDE w:val="0"/>
              <w:autoSpaceDN w:val="0"/>
              <w:spacing w:after="0" w:line="276" w:lineRule="auto"/>
              <w:jc w:val="both"/>
              <w:outlineLvl w:val="0"/>
              <w:rPr>
                <w:rFonts w:ascii="Times New Roman" w:hAnsi="Times New Roman" w:eastAsia="Times New Roman" w:cs="Times New Roman"/>
                <w:b/>
                <w:sz w:val="28"/>
                <w:szCs w:val="28"/>
              </w:rPr>
            </w:pPr>
            <w:r>
              <w:rPr>
                <w:rFonts w:ascii="Times New Roman" w:hAnsi="Times New Roman" w:eastAsia="Times New Roman" w:cs="Times New Roman"/>
                <w:b/>
                <w:sz w:val="28"/>
                <w:szCs w:val="28"/>
              </w:rPr>
              <w:t>0,000</w:t>
            </w:r>
            <w:r>
              <w:rPr>
                <w:rFonts w:ascii="Times New Roman" w:hAnsi="Times New Roman" w:eastAsia="Times New Roman" w:cs="Times New Roman"/>
                <w:b/>
                <w:i/>
                <w:sz w:val="28"/>
                <w:szCs w:val="28"/>
              </w:rPr>
              <w:t>*</w:t>
            </w:r>
          </w:p>
        </w:tc>
        <w:tc>
          <w:tcPr>
            <w:tcW w:w="0" w:type="auto"/>
            <w:tcBorders>
              <w:top w:val="nil"/>
              <w:left w:val="outset" w:color="auto" w:sz="6" w:space="0"/>
              <w:bottom w:val="outset" w:color="auto" w:sz="6" w:space="0"/>
              <w:right w:val="outset" w:color="auto" w:sz="6" w:space="0"/>
            </w:tcBorders>
          </w:tcPr>
          <w:p w14:paraId="454B9C85">
            <w:pPr>
              <w:widowControl w:val="0"/>
              <w:autoSpaceDE w:val="0"/>
              <w:autoSpaceDN w:val="0"/>
              <w:spacing w:after="0" w:line="276" w:lineRule="auto"/>
              <w:jc w:val="both"/>
              <w:outlineLvl w:val="0"/>
              <w:rPr>
                <w:rFonts w:ascii="Times New Roman" w:hAnsi="Times New Roman" w:eastAsia="Times New Roman" w:cs="Times New Roman"/>
                <w:b/>
                <w:sz w:val="28"/>
                <w:szCs w:val="28"/>
              </w:rPr>
            </w:pPr>
            <w:r>
              <w:rPr>
                <w:rFonts w:ascii="Times New Roman" w:hAnsi="Times New Roman" w:eastAsia="Times New Roman" w:cs="Times New Roman"/>
                <w:b/>
                <w:sz w:val="28"/>
                <w:szCs w:val="28"/>
              </w:rPr>
              <w:t>–4,477</w:t>
            </w:r>
          </w:p>
        </w:tc>
        <w:tc>
          <w:tcPr>
            <w:tcW w:w="0" w:type="auto"/>
            <w:tcBorders>
              <w:top w:val="nil"/>
              <w:left w:val="outset" w:color="auto" w:sz="6" w:space="0"/>
              <w:bottom w:val="outset" w:color="auto" w:sz="6" w:space="0"/>
              <w:right w:val="outset" w:color="auto" w:sz="6" w:space="0"/>
            </w:tcBorders>
          </w:tcPr>
          <w:p w14:paraId="00C0628D">
            <w:pPr>
              <w:widowControl w:val="0"/>
              <w:autoSpaceDE w:val="0"/>
              <w:autoSpaceDN w:val="0"/>
              <w:spacing w:after="0" w:line="276" w:lineRule="auto"/>
              <w:jc w:val="both"/>
              <w:outlineLvl w:val="0"/>
              <w:rPr>
                <w:rFonts w:ascii="Times New Roman" w:hAnsi="Times New Roman" w:eastAsia="Times New Roman" w:cs="Times New Roman"/>
                <w:b/>
                <w:sz w:val="28"/>
                <w:szCs w:val="28"/>
              </w:rPr>
            </w:pPr>
            <w:r>
              <w:rPr>
                <w:rFonts w:ascii="Times New Roman" w:hAnsi="Times New Roman" w:eastAsia="Times New Roman" w:cs="Times New Roman"/>
                <w:b/>
                <w:sz w:val="28"/>
                <w:szCs w:val="28"/>
              </w:rPr>
              <w:t>0,000</w:t>
            </w:r>
            <w:r>
              <w:rPr>
                <w:rFonts w:ascii="Times New Roman" w:hAnsi="Times New Roman" w:eastAsia="Times New Roman" w:cs="Times New Roman"/>
                <w:b/>
                <w:i/>
                <w:sz w:val="28"/>
                <w:szCs w:val="28"/>
              </w:rPr>
              <w:t>*</w:t>
            </w:r>
          </w:p>
        </w:tc>
        <w:tc>
          <w:tcPr>
            <w:tcW w:w="0" w:type="auto"/>
            <w:tcBorders>
              <w:top w:val="nil"/>
              <w:left w:val="outset" w:color="auto" w:sz="6" w:space="0"/>
              <w:bottom w:val="outset" w:color="auto" w:sz="6" w:space="0"/>
              <w:right w:val="outset" w:color="auto" w:sz="6" w:space="0"/>
            </w:tcBorders>
          </w:tcPr>
          <w:p w14:paraId="6F917298">
            <w:pPr>
              <w:widowControl w:val="0"/>
              <w:autoSpaceDE w:val="0"/>
              <w:autoSpaceDN w:val="0"/>
              <w:spacing w:after="0" w:line="276" w:lineRule="auto"/>
              <w:jc w:val="both"/>
              <w:outlineLvl w:val="0"/>
              <w:rPr>
                <w:rFonts w:ascii="Times New Roman" w:hAnsi="Times New Roman" w:eastAsia="Times New Roman" w:cs="Times New Roman"/>
                <w:b/>
                <w:sz w:val="28"/>
                <w:szCs w:val="28"/>
              </w:rPr>
            </w:pPr>
            <w:r>
              <w:rPr>
                <w:rFonts w:ascii="Times New Roman" w:hAnsi="Times New Roman" w:eastAsia="Times New Roman" w:cs="Times New Roman"/>
                <w:b/>
                <w:sz w:val="28"/>
                <w:szCs w:val="28"/>
              </w:rPr>
              <w:t>–4,969</w:t>
            </w:r>
          </w:p>
        </w:tc>
        <w:tc>
          <w:tcPr>
            <w:tcW w:w="0" w:type="auto"/>
            <w:tcBorders>
              <w:top w:val="nil"/>
              <w:left w:val="outset" w:color="auto" w:sz="6" w:space="0"/>
              <w:bottom w:val="outset" w:color="auto" w:sz="6" w:space="0"/>
              <w:right w:val="outset" w:color="auto" w:sz="6" w:space="0"/>
            </w:tcBorders>
          </w:tcPr>
          <w:p w14:paraId="39E613FA">
            <w:pPr>
              <w:widowControl w:val="0"/>
              <w:autoSpaceDE w:val="0"/>
              <w:autoSpaceDN w:val="0"/>
              <w:spacing w:after="0" w:line="276" w:lineRule="auto"/>
              <w:jc w:val="both"/>
              <w:outlineLvl w:val="0"/>
              <w:rPr>
                <w:rFonts w:ascii="Times New Roman" w:hAnsi="Times New Roman" w:eastAsia="Times New Roman" w:cs="Times New Roman"/>
                <w:b/>
                <w:sz w:val="28"/>
                <w:szCs w:val="28"/>
              </w:rPr>
            </w:pPr>
            <w:r>
              <w:rPr>
                <w:rFonts w:ascii="Times New Roman" w:hAnsi="Times New Roman" w:eastAsia="Times New Roman" w:cs="Times New Roman"/>
                <w:b/>
                <w:sz w:val="28"/>
                <w:szCs w:val="28"/>
              </w:rPr>
              <w:t>0,000</w:t>
            </w:r>
            <w:r>
              <w:rPr>
                <w:rFonts w:ascii="Times New Roman" w:hAnsi="Times New Roman" w:eastAsia="Times New Roman" w:cs="Times New Roman"/>
                <w:b/>
                <w:i/>
                <w:sz w:val="28"/>
                <w:szCs w:val="28"/>
              </w:rPr>
              <w:t>*</w:t>
            </w:r>
          </w:p>
        </w:tc>
        <w:tc>
          <w:tcPr>
            <w:tcW w:w="0" w:type="auto"/>
            <w:tcBorders>
              <w:top w:val="nil"/>
              <w:left w:val="outset" w:color="auto" w:sz="6" w:space="0"/>
              <w:bottom w:val="outset" w:color="auto" w:sz="6" w:space="0"/>
              <w:right w:val="outset" w:color="auto" w:sz="6" w:space="0"/>
            </w:tcBorders>
          </w:tcPr>
          <w:p w14:paraId="4A992C45">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–0,908</w:t>
            </w:r>
          </w:p>
        </w:tc>
        <w:tc>
          <w:tcPr>
            <w:tcW w:w="0" w:type="auto"/>
            <w:tcBorders>
              <w:top w:val="nil"/>
              <w:left w:val="outset" w:color="auto" w:sz="6" w:space="0"/>
              <w:bottom w:val="outset" w:color="auto" w:sz="6" w:space="0"/>
              <w:right w:val="outset" w:color="auto" w:sz="6" w:space="0"/>
            </w:tcBorders>
          </w:tcPr>
          <w:p w14:paraId="714433B9">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0,364</w:t>
            </w:r>
          </w:p>
        </w:tc>
      </w:tr>
      <w:tr w14:paraId="43B56375">
        <w:tblPrEx>
          <w:tblCellMar>
            <w:top w:w="15" w:type="dxa"/>
            <w:left w:w="15" w:type="dxa"/>
            <w:bottom w:w="15" w:type="dxa"/>
            <w:right w:w="15" w:type="dxa"/>
          </w:tblCellMar>
        </w:tblPrEx>
        <w:tc>
          <w:tcPr>
            <w:tcW w:w="0" w:type="auto"/>
            <w:tcBorders>
              <w:top w:val="nil"/>
              <w:left w:val="outset" w:color="auto" w:sz="6" w:space="0"/>
              <w:bottom w:val="outset" w:color="auto" w:sz="6" w:space="0"/>
              <w:right w:val="outset" w:color="auto" w:sz="6" w:space="0"/>
            </w:tcBorders>
          </w:tcPr>
          <w:p w14:paraId="55A2BB28">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Эозинофилдер</w:t>
            </w:r>
          </w:p>
        </w:tc>
        <w:tc>
          <w:tcPr>
            <w:tcW w:w="0" w:type="auto"/>
            <w:tcBorders>
              <w:top w:val="nil"/>
              <w:left w:val="outset" w:color="auto" w:sz="6" w:space="0"/>
              <w:bottom w:val="outset" w:color="auto" w:sz="6" w:space="0"/>
              <w:right w:val="outset" w:color="auto" w:sz="6" w:space="0"/>
            </w:tcBorders>
          </w:tcPr>
          <w:p w14:paraId="5EF2BE74">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1,422</w:t>
            </w:r>
          </w:p>
        </w:tc>
        <w:tc>
          <w:tcPr>
            <w:tcW w:w="0" w:type="auto"/>
            <w:tcBorders>
              <w:top w:val="nil"/>
              <w:left w:val="outset" w:color="auto" w:sz="6" w:space="0"/>
              <w:bottom w:val="outset" w:color="auto" w:sz="6" w:space="0"/>
              <w:right w:val="outset" w:color="auto" w:sz="6" w:space="0"/>
            </w:tcBorders>
          </w:tcPr>
          <w:p w14:paraId="21814893">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0,155</w:t>
            </w:r>
          </w:p>
        </w:tc>
        <w:tc>
          <w:tcPr>
            <w:tcW w:w="0" w:type="auto"/>
            <w:tcBorders>
              <w:top w:val="nil"/>
              <w:left w:val="outset" w:color="auto" w:sz="6" w:space="0"/>
              <w:bottom w:val="outset" w:color="auto" w:sz="6" w:space="0"/>
              <w:right w:val="outset" w:color="auto" w:sz="6" w:space="0"/>
            </w:tcBorders>
          </w:tcPr>
          <w:p w14:paraId="77CA0079">
            <w:pPr>
              <w:widowControl w:val="0"/>
              <w:autoSpaceDE w:val="0"/>
              <w:autoSpaceDN w:val="0"/>
              <w:spacing w:after="0" w:line="276" w:lineRule="auto"/>
              <w:jc w:val="both"/>
              <w:outlineLvl w:val="0"/>
              <w:rPr>
                <w:rFonts w:ascii="Times New Roman" w:hAnsi="Times New Roman" w:eastAsia="Times New Roman" w:cs="Times New Roman"/>
                <w:b/>
                <w:sz w:val="28"/>
                <w:szCs w:val="28"/>
              </w:rPr>
            </w:pPr>
            <w:r>
              <w:rPr>
                <w:rFonts w:ascii="Times New Roman" w:hAnsi="Times New Roman" w:eastAsia="Times New Roman" w:cs="Times New Roman"/>
                <w:b/>
                <w:sz w:val="28"/>
                <w:szCs w:val="28"/>
              </w:rPr>
              <w:t>–2,430</w:t>
            </w:r>
          </w:p>
        </w:tc>
        <w:tc>
          <w:tcPr>
            <w:tcW w:w="0" w:type="auto"/>
            <w:tcBorders>
              <w:top w:val="nil"/>
              <w:left w:val="outset" w:color="auto" w:sz="6" w:space="0"/>
              <w:bottom w:val="outset" w:color="auto" w:sz="6" w:space="0"/>
              <w:right w:val="outset" w:color="auto" w:sz="6" w:space="0"/>
            </w:tcBorders>
          </w:tcPr>
          <w:p w14:paraId="1B811054">
            <w:pPr>
              <w:widowControl w:val="0"/>
              <w:autoSpaceDE w:val="0"/>
              <w:autoSpaceDN w:val="0"/>
              <w:spacing w:after="0" w:line="276" w:lineRule="auto"/>
              <w:jc w:val="both"/>
              <w:outlineLvl w:val="0"/>
              <w:rPr>
                <w:rFonts w:ascii="Times New Roman" w:hAnsi="Times New Roman" w:eastAsia="Times New Roman" w:cs="Times New Roman"/>
                <w:b/>
                <w:sz w:val="28"/>
                <w:szCs w:val="28"/>
              </w:rPr>
            </w:pPr>
            <w:r>
              <w:rPr>
                <w:rFonts w:ascii="Times New Roman" w:hAnsi="Times New Roman" w:eastAsia="Times New Roman" w:cs="Times New Roman"/>
                <w:b/>
                <w:sz w:val="28"/>
                <w:szCs w:val="28"/>
              </w:rPr>
              <w:t>0,015</w:t>
            </w:r>
            <w:r>
              <w:rPr>
                <w:rFonts w:ascii="Times New Roman" w:hAnsi="Times New Roman" w:eastAsia="Times New Roman" w:cs="Times New Roman"/>
                <w:b/>
                <w:i/>
                <w:sz w:val="28"/>
                <w:szCs w:val="28"/>
              </w:rPr>
              <w:t>*</w:t>
            </w:r>
          </w:p>
        </w:tc>
        <w:tc>
          <w:tcPr>
            <w:tcW w:w="0" w:type="auto"/>
            <w:tcBorders>
              <w:top w:val="nil"/>
              <w:left w:val="outset" w:color="auto" w:sz="6" w:space="0"/>
              <w:bottom w:val="outset" w:color="auto" w:sz="6" w:space="0"/>
              <w:right w:val="outset" w:color="auto" w:sz="6" w:space="0"/>
            </w:tcBorders>
          </w:tcPr>
          <w:p w14:paraId="415C2F6C">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–0,738</w:t>
            </w:r>
          </w:p>
        </w:tc>
        <w:tc>
          <w:tcPr>
            <w:tcW w:w="0" w:type="auto"/>
            <w:tcBorders>
              <w:top w:val="nil"/>
              <w:left w:val="outset" w:color="auto" w:sz="6" w:space="0"/>
              <w:bottom w:val="outset" w:color="auto" w:sz="6" w:space="0"/>
              <w:right w:val="outset" w:color="auto" w:sz="6" w:space="0"/>
            </w:tcBorders>
          </w:tcPr>
          <w:p w14:paraId="089411F6">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0,460</w:t>
            </w:r>
          </w:p>
        </w:tc>
        <w:tc>
          <w:tcPr>
            <w:tcW w:w="0" w:type="auto"/>
            <w:tcBorders>
              <w:top w:val="nil"/>
              <w:left w:val="outset" w:color="auto" w:sz="6" w:space="0"/>
              <w:bottom w:val="outset" w:color="auto" w:sz="6" w:space="0"/>
              <w:right w:val="outset" w:color="auto" w:sz="6" w:space="0"/>
            </w:tcBorders>
          </w:tcPr>
          <w:p w14:paraId="3381C809">
            <w:pPr>
              <w:widowControl w:val="0"/>
              <w:autoSpaceDE w:val="0"/>
              <w:autoSpaceDN w:val="0"/>
              <w:spacing w:after="0" w:line="276" w:lineRule="auto"/>
              <w:jc w:val="both"/>
              <w:outlineLvl w:val="0"/>
              <w:rPr>
                <w:rFonts w:ascii="Times New Roman" w:hAnsi="Times New Roman" w:eastAsia="Times New Roman" w:cs="Times New Roman"/>
                <w:b/>
                <w:sz w:val="28"/>
                <w:szCs w:val="28"/>
              </w:rPr>
            </w:pPr>
            <w:r>
              <w:rPr>
                <w:rFonts w:ascii="Times New Roman" w:hAnsi="Times New Roman" w:eastAsia="Times New Roman" w:cs="Times New Roman"/>
                <w:b/>
                <w:sz w:val="28"/>
                <w:szCs w:val="28"/>
              </w:rPr>
              <w:t>–2,919</w:t>
            </w:r>
          </w:p>
        </w:tc>
        <w:tc>
          <w:tcPr>
            <w:tcW w:w="0" w:type="auto"/>
            <w:tcBorders>
              <w:top w:val="nil"/>
              <w:left w:val="outset" w:color="auto" w:sz="6" w:space="0"/>
              <w:bottom w:val="outset" w:color="auto" w:sz="6" w:space="0"/>
              <w:right w:val="outset" w:color="auto" w:sz="6" w:space="0"/>
            </w:tcBorders>
          </w:tcPr>
          <w:p w14:paraId="14E3C78E">
            <w:pPr>
              <w:widowControl w:val="0"/>
              <w:autoSpaceDE w:val="0"/>
              <w:autoSpaceDN w:val="0"/>
              <w:spacing w:after="0" w:line="276" w:lineRule="auto"/>
              <w:jc w:val="both"/>
              <w:outlineLvl w:val="0"/>
              <w:rPr>
                <w:rFonts w:ascii="Times New Roman" w:hAnsi="Times New Roman" w:eastAsia="Times New Roman" w:cs="Times New Roman"/>
                <w:b/>
                <w:sz w:val="28"/>
                <w:szCs w:val="28"/>
              </w:rPr>
            </w:pPr>
            <w:r>
              <w:rPr>
                <w:rFonts w:ascii="Times New Roman" w:hAnsi="Times New Roman" w:eastAsia="Times New Roman" w:cs="Times New Roman"/>
                <w:b/>
                <w:sz w:val="28"/>
                <w:szCs w:val="28"/>
              </w:rPr>
              <w:t>0,004</w:t>
            </w:r>
            <w:r>
              <w:rPr>
                <w:rFonts w:ascii="Times New Roman" w:hAnsi="Times New Roman" w:eastAsia="Times New Roman" w:cs="Times New Roman"/>
                <w:b/>
                <w:i/>
                <w:sz w:val="28"/>
                <w:szCs w:val="28"/>
              </w:rPr>
              <w:t>*</w:t>
            </w:r>
          </w:p>
        </w:tc>
        <w:tc>
          <w:tcPr>
            <w:tcW w:w="0" w:type="auto"/>
            <w:tcBorders>
              <w:top w:val="nil"/>
              <w:left w:val="outset" w:color="auto" w:sz="6" w:space="0"/>
              <w:bottom w:val="outset" w:color="auto" w:sz="6" w:space="0"/>
              <w:right w:val="outset" w:color="auto" w:sz="6" w:space="0"/>
            </w:tcBorders>
          </w:tcPr>
          <w:p w14:paraId="016B549A">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–1,769</w:t>
            </w:r>
          </w:p>
        </w:tc>
        <w:tc>
          <w:tcPr>
            <w:tcW w:w="0" w:type="auto"/>
            <w:tcBorders>
              <w:top w:val="nil"/>
              <w:left w:val="outset" w:color="auto" w:sz="6" w:space="0"/>
              <w:bottom w:val="outset" w:color="auto" w:sz="6" w:space="0"/>
              <w:right w:val="outset" w:color="auto" w:sz="6" w:space="0"/>
            </w:tcBorders>
          </w:tcPr>
          <w:p w14:paraId="0D994C66">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0,077</w:t>
            </w:r>
          </w:p>
        </w:tc>
        <w:tc>
          <w:tcPr>
            <w:tcW w:w="0" w:type="auto"/>
            <w:tcBorders>
              <w:top w:val="nil"/>
              <w:left w:val="outset" w:color="auto" w:sz="6" w:space="0"/>
              <w:bottom w:val="outset" w:color="auto" w:sz="6" w:space="0"/>
              <w:right w:val="outset" w:color="auto" w:sz="6" w:space="0"/>
            </w:tcBorders>
          </w:tcPr>
          <w:p w14:paraId="4D149E3A">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1,352</w:t>
            </w:r>
          </w:p>
        </w:tc>
        <w:tc>
          <w:tcPr>
            <w:tcW w:w="0" w:type="auto"/>
            <w:tcBorders>
              <w:top w:val="nil"/>
              <w:left w:val="outset" w:color="auto" w:sz="6" w:space="0"/>
              <w:bottom w:val="outset" w:color="auto" w:sz="6" w:space="0"/>
              <w:right w:val="outset" w:color="auto" w:sz="6" w:space="0"/>
            </w:tcBorders>
          </w:tcPr>
          <w:p w14:paraId="2B06ECC1">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0,176</w:t>
            </w:r>
          </w:p>
        </w:tc>
      </w:tr>
      <w:tr w14:paraId="2364E1E0">
        <w:tblPrEx>
          <w:tblCellMar>
            <w:top w:w="15" w:type="dxa"/>
            <w:left w:w="15" w:type="dxa"/>
            <w:bottom w:w="15" w:type="dxa"/>
            <w:right w:w="15" w:type="dxa"/>
          </w:tblCellMar>
        </w:tblPrEx>
        <w:tc>
          <w:tcPr>
            <w:tcW w:w="0" w:type="auto"/>
            <w:tcBorders>
              <w:top w:val="nil"/>
              <w:left w:val="outset" w:color="auto" w:sz="6" w:space="0"/>
              <w:bottom w:val="outset" w:color="auto" w:sz="6" w:space="0"/>
              <w:right w:val="outset" w:color="auto" w:sz="6" w:space="0"/>
            </w:tcBorders>
          </w:tcPr>
          <w:p w14:paraId="20B553F3">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ХҚҚ </w:t>
            </w:r>
          </w:p>
        </w:tc>
        <w:tc>
          <w:tcPr>
            <w:tcW w:w="0" w:type="auto"/>
            <w:tcBorders>
              <w:top w:val="nil"/>
              <w:left w:val="outset" w:color="auto" w:sz="6" w:space="0"/>
              <w:bottom w:val="outset" w:color="auto" w:sz="6" w:space="0"/>
              <w:right w:val="outset" w:color="auto" w:sz="6" w:space="0"/>
            </w:tcBorders>
          </w:tcPr>
          <w:p w14:paraId="67625FF3">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0,328</w:t>
            </w:r>
          </w:p>
        </w:tc>
        <w:tc>
          <w:tcPr>
            <w:tcW w:w="0" w:type="auto"/>
            <w:tcBorders>
              <w:top w:val="nil"/>
              <w:left w:val="outset" w:color="auto" w:sz="6" w:space="0"/>
              <w:bottom w:val="outset" w:color="auto" w:sz="6" w:space="0"/>
              <w:right w:val="outset" w:color="auto" w:sz="6" w:space="0"/>
            </w:tcBorders>
          </w:tcPr>
          <w:p w14:paraId="4407E2D7">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0,743</w:t>
            </w:r>
          </w:p>
        </w:tc>
        <w:tc>
          <w:tcPr>
            <w:tcW w:w="0" w:type="auto"/>
            <w:tcBorders>
              <w:top w:val="nil"/>
              <w:left w:val="outset" w:color="auto" w:sz="6" w:space="0"/>
              <w:bottom w:val="outset" w:color="auto" w:sz="6" w:space="0"/>
              <w:right w:val="outset" w:color="auto" w:sz="6" w:space="0"/>
            </w:tcBorders>
          </w:tcPr>
          <w:p w14:paraId="7D962BB7">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–1,568</w:t>
            </w:r>
          </w:p>
        </w:tc>
        <w:tc>
          <w:tcPr>
            <w:tcW w:w="0" w:type="auto"/>
            <w:tcBorders>
              <w:top w:val="nil"/>
              <w:left w:val="outset" w:color="auto" w:sz="6" w:space="0"/>
              <w:bottom w:val="outset" w:color="auto" w:sz="6" w:space="0"/>
              <w:right w:val="outset" w:color="auto" w:sz="6" w:space="0"/>
            </w:tcBorders>
          </w:tcPr>
          <w:p w14:paraId="051814FA">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0,117</w:t>
            </w:r>
          </w:p>
        </w:tc>
        <w:tc>
          <w:tcPr>
            <w:tcW w:w="0" w:type="auto"/>
            <w:tcBorders>
              <w:top w:val="nil"/>
              <w:left w:val="outset" w:color="auto" w:sz="6" w:space="0"/>
              <w:bottom w:val="outset" w:color="auto" w:sz="6" w:space="0"/>
              <w:right w:val="outset" w:color="auto" w:sz="6" w:space="0"/>
            </w:tcBorders>
          </w:tcPr>
          <w:p w14:paraId="07E97A4A">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–0,882</w:t>
            </w:r>
          </w:p>
        </w:tc>
        <w:tc>
          <w:tcPr>
            <w:tcW w:w="0" w:type="auto"/>
            <w:tcBorders>
              <w:top w:val="nil"/>
              <w:left w:val="outset" w:color="auto" w:sz="6" w:space="0"/>
              <w:bottom w:val="outset" w:color="auto" w:sz="6" w:space="0"/>
              <w:right w:val="outset" w:color="auto" w:sz="6" w:space="0"/>
            </w:tcBorders>
          </w:tcPr>
          <w:p w14:paraId="23051697">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0,378</w:t>
            </w:r>
          </w:p>
        </w:tc>
        <w:tc>
          <w:tcPr>
            <w:tcW w:w="0" w:type="auto"/>
            <w:tcBorders>
              <w:top w:val="nil"/>
              <w:left w:val="outset" w:color="auto" w:sz="6" w:space="0"/>
              <w:bottom w:val="outset" w:color="auto" w:sz="6" w:space="0"/>
              <w:right w:val="outset" w:color="auto" w:sz="6" w:space="0"/>
            </w:tcBorders>
          </w:tcPr>
          <w:p w14:paraId="1540710E">
            <w:pPr>
              <w:widowControl w:val="0"/>
              <w:autoSpaceDE w:val="0"/>
              <w:autoSpaceDN w:val="0"/>
              <w:spacing w:after="0" w:line="276" w:lineRule="auto"/>
              <w:jc w:val="both"/>
              <w:outlineLvl w:val="0"/>
              <w:rPr>
                <w:rFonts w:ascii="Times New Roman" w:hAnsi="Times New Roman" w:eastAsia="Times New Roman" w:cs="Times New Roman"/>
                <w:b/>
                <w:sz w:val="28"/>
                <w:szCs w:val="28"/>
              </w:rPr>
            </w:pPr>
            <w:r>
              <w:rPr>
                <w:rFonts w:ascii="Times New Roman" w:hAnsi="Times New Roman" w:eastAsia="Times New Roman" w:cs="Times New Roman"/>
                <w:b/>
                <w:sz w:val="28"/>
                <w:szCs w:val="28"/>
              </w:rPr>
              <w:t>–2,397</w:t>
            </w:r>
          </w:p>
        </w:tc>
        <w:tc>
          <w:tcPr>
            <w:tcW w:w="0" w:type="auto"/>
            <w:tcBorders>
              <w:top w:val="nil"/>
              <w:left w:val="outset" w:color="auto" w:sz="6" w:space="0"/>
              <w:bottom w:val="outset" w:color="auto" w:sz="6" w:space="0"/>
              <w:right w:val="outset" w:color="auto" w:sz="6" w:space="0"/>
            </w:tcBorders>
          </w:tcPr>
          <w:p w14:paraId="643DE386">
            <w:pPr>
              <w:widowControl w:val="0"/>
              <w:autoSpaceDE w:val="0"/>
              <w:autoSpaceDN w:val="0"/>
              <w:spacing w:after="0" w:line="276" w:lineRule="auto"/>
              <w:jc w:val="both"/>
              <w:outlineLvl w:val="0"/>
              <w:rPr>
                <w:rFonts w:ascii="Times New Roman" w:hAnsi="Times New Roman" w:eastAsia="Times New Roman" w:cs="Times New Roman"/>
                <w:b/>
                <w:sz w:val="28"/>
                <w:szCs w:val="28"/>
              </w:rPr>
            </w:pPr>
            <w:r>
              <w:rPr>
                <w:rFonts w:ascii="Times New Roman" w:hAnsi="Times New Roman" w:eastAsia="Times New Roman" w:cs="Times New Roman"/>
                <w:b/>
                <w:sz w:val="28"/>
                <w:szCs w:val="28"/>
              </w:rPr>
              <w:t>0,017</w:t>
            </w:r>
            <w:r>
              <w:rPr>
                <w:rFonts w:ascii="Times New Roman" w:hAnsi="Times New Roman" w:eastAsia="Times New Roman" w:cs="Times New Roman"/>
                <w:b/>
                <w:i/>
                <w:sz w:val="28"/>
                <w:szCs w:val="28"/>
              </w:rPr>
              <w:t>*</w:t>
            </w:r>
          </w:p>
        </w:tc>
        <w:tc>
          <w:tcPr>
            <w:tcW w:w="0" w:type="auto"/>
            <w:tcBorders>
              <w:top w:val="nil"/>
              <w:left w:val="outset" w:color="auto" w:sz="6" w:space="0"/>
              <w:bottom w:val="outset" w:color="auto" w:sz="6" w:space="0"/>
              <w:right w:val="outset" w:color="auto" w:sz="6" w:space="0"/>
            </w:tcBorders>
          </w:tcPr>
          <w:p w14:paraId="354E89C9">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–1,671</w:t>
            </w:r>
          </w:p>
        </w:tc>
        <w:tc>
          <w:tcPr>
            <w:tcW w:w="0" w:type="auto"/>
            <w:tcBorders>
              <w:top w:val="nil"/>
              <w:left w:val="outset" w:color="auto" w:sz="6" w:space="0"/>
              <w:bottom w:val="outset" w:color="auto" w:sz="6" w:space="0"/>
              <w:right w:val="outset" w:color="auto" w:sz="6" w:space="0"/>
            </w:tcBorders>
          </w:tcPr>
          <w:p w14:paraId="2108B266">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0,095</w:t>
            </w:r>
          </w:p>
        </w:tc>
        <w:tc>
          <w:tcPr>
            <w:tcW w:w="0" w:type="auto"/>
            <w:tcBorders>
              <w:top w:val="nil"/>
              <w:left w:val="outset" w:color="auto" w:sz="6" w:space="0"/>
              <w:bottom w:val="outset" w:color="auto" w:sz="6" w:space="0"/>
              <w:right w:val="outset" w:color="auto" w:sz="6" w:space="0"/>
            </w:tcBorders>
          </w:tcPr>
          <w:p w14:paraId="65B0A661">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0,858</w:t>
            </w:r>
          </w:p>
        </w:tc>
        <w:tc>
          <w:tcPr>
            <w:tcW w:w="0" w:type="auto"/>
            <w:tcBorders>
              <w:top w:val="nil"/>
              <w:left w:val="outset" w:color="auto" w:sz="6" w:space="0"/>
              <w:bottom w:val="outset" w:color="auto" w:sz="6" w:space="0"/>
              <w:right w:val="outset" w:color="auto" w:sz="6" w:space="0"/>
            </w:tcBorders>
          </w:tcPr>
          <w:p w14:paraId="44EBC156">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0,391</w:t>
            </w:r>
          </w:p>
        </w:tc>
      </w:tr>
      <w:tr w14:paraId="20BE9DFD">
        <w:tblPrEx>
          <w:tblCellMar>
            <w:top w:w="15" w:type="dxa"/>
            <w:left w:w="15" w:type="dxa"/>
            <w:bottom w:w="15" w:type="dxa"/>
            <w:right w:w="15" w:type="dxa"/>
          </w:tblCellMar>
        </w:tblPrEx>
        <w:tc>
          <w:tcPr>
            <w:tcW w:w="0" w:type="auto"/>
            <w:tcBorders>
              <w:top w:val="nil"/>
              <w:left w:val="outset" w:color="auto" w:sz="6" w:space="0"/>
              <w:bottom w:val="outset" w:color="auto" w:sz="6" w:space="0"/>
              <w:right w:val="outset" w:color="auto" w:sz="6" w:space="0"/>
            </w:tcBorders>
          </w:tcPr>
          <w:p w14:paraId="703A1BD9">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Протромбиндік индекс</w:t>
            </w:r>
          </w:p>
        </w:tc>
        <w:tc>
          <w:tcPr>
            <w:tcW w:w="0" w:type="auto"/>
            <w:tcBorders>
              <w:top w:val="nil"/>
              <w:left w:val="outset" w:color="auto" w:sz="6" w:space="0"/>
              <w:bottom w:val="outset" w:color="auto" w:sz="6" w:space="0"/>
              <w:right w:val="outset" w:color="auto" w:sz="6" w:space="0"/>
            </w:tcBorders>
          </w:tcPr>
          <w:p w14:paraId="004B4CFF">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–1,204</w:t>
            </w:r>
          </w:p>
        </w:tc>
        <w:tc>
          <w:tcPr>
            <w:tcW w:w="0" w:type="auto"/>
            <w:tcBorders>
              <w:top w:val="nil"/>
              <w:left w:val="outset" w:color="auto" w:sz="6" w:space="0"/>
              <w:bottom w:val="outset" w:color="auto" w:sz="6" w:space="0"/>
              <w:right w:val="outset" w:color="auto" w:sz="6" w:space="0"/>
            </w:tcBorders>
          </w:tcPr>
          <w:p w14:paraId="63D57B2C">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0,229</w:t>
            </w:r>
          </w:p>
        </w:tc>
        <w:tc>
          <w:tcPr>
            <w:tcW w:w="0" w:type="auto"/>
            <w:tcBorders>
              <w:top w:val="nil"/>
              <w:left w:val="outset" w:color="auto" w:sz="6" w:space="0"/>
              <w:bottom w:val="outset" w:color="auto" w:sz="6" w:space="0"/>
              <w:right w:val="outset" w:color="auto" w:sz="6" w:space="0"/>
            </w:tcBorders>
          </w:tcPr>
          <w:p w14:paraId="0FE32B18">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1,512</w:t>
            </w:r>
          </w:p>
        </w:tc>
        <w:tc>
          <w:tcPr>
            <w:tcW w:w="0" w:type="auto"/>
            <w:tcBorders>
              <w:top w:val="nil"/>
              <w:left w:val="outset" w:color="auto" w:sz="6" w:space="0"/>
              <w:bottom w:val="outset" w:color="auto" w:sz="6" w:space="0"/>
              <w:right w:val="outset" w:color="auto" w:sz="6" w:space="0"/>
            </w:tcBorders>
          </w:tcPr>
          <w:p w14:paraId="18F8ECFF">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0,131</w:t>
            </w:r>
          </w:p>
        </w:tc>
        <w:tc>
          <w:tcPr>
            <w:tcW w:w="0" w:type="auto"/>
            <w:tcBorders>
              <w:top w:val="nil"/>
              <w:left w:val="outset" w:color="auto" w:sz="6" w:space="0"/>
              <w:bottom w:val="outset" w:color="auto" w:sz="6" w:space="0"/>
              <w:right w:val="outset" w:color="auto" w:sz="6" w:space="0"/>
            </w:tcBorders>
          </w:tcPr>
          <w:p w14:paraId="20A8ABBC">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1,121</w:t>
            </w:r>
          </w:p>
        </w:tc>
        <w:tc>
          <w:tcPr>
            <w:tcW w:w="0" w:type="auto"/>
            <w:tcBorders>
              <w:top w:val="nil"/>
              <w:left w:val="outset" w:color="auto" w:sz="6" w:space="0"/>
              <w:bottom w:val="outset" w:color="auto" w:sz="6" w:space="0"/>
              <w:right w:val="outset" w:color="auto" w:sz="6" w:space="0"/>
            </w:tcBorders>
          </w:tcPr>
          <w:p w14:paraId="01D10E83">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0,262</w:t>
            </w:r>
          </w:p>
        </w:tc>
        <w:tc>
          <w:tcPr>
            <w:tcW w:w="0" w:type="auto"/>
            <w:tcBorders>
              <w:top w:val="nil"/>
              <w:left w:val="outset" w:color="auto" w:sz="6" w:space="0"/>
              <w:bottom w:val="outset" w:color="auto" w:sz="6" w:space="0"/>
              <w:right w:val="outset" w:color="auto" w:sz="6" w:space="0"/>
            </w:tcBorders>
          </w:tcPr>
          <w:p w14:paraId="4C266871">
            <w:pPr>
              <w:widowControl w:val="0"/>
              <w:autoSpaceDE w:val="0"/>
              <w:autoSpaceDN w:val="0"/>
              <w:spacing w:after="0" w:line="276" w:lineRule="auto"/>
              <w:jc w:val="both"/>
              <w:outlineLvl w:val="0"/>
              <w:rPr>
                <w:rFonts w:ascii="Times New Roman" w:hAnsi="Times New Roman" w:eastAsia="Times New Roman" w:cs="Times New Roman"/>
                <w:b/>
                <w:sz w:val="28"/>
                <w:szCs w:val="28"/>
              </w:rPr>
            </w:pPr>
            <w:r>
              <w:rPr>
                <w:rFonts w:ascii="Times New Roman" w:hAnsi="Times New Roman" w:eastAsia="Times New Roman" w:cs="Times New Roman"/>
                <w:b/>
                <w:sz w:val="28"/>
                <w:szCs w:val="28"/>
              </w:rPr>
              <w:t>2,603</w:t>
            </w:r>
          </w:p>
        </w:tc>
        <w:tc>
          <w:tcPr>
            <w:tcW w:w="0" w:type="auto"/>
            <w:tcBorders>
              <w:top w:val="nil"/>
              <w:left w:val="outset" w:color="auto" w:sz="6" w:space="0"/>
              <w:bottom w:val="outset" w:color="auto" w:sz="6" w:space="0"/>
              <w:right w:val="outset" w:color="auto" w:sz="6" w:space="0"/>
            </w:tcBorders>
          </w:tcPr>
          <w:p w14:paraId="7881A160">
            <w:pPr>
              <w:widowControl w:val="0"/>
              <w:autoSpaceDE w:val="0"/>
              <w:autoSpaceDN w:val="0"/>
              <w:spacing w:after="0" w:line="276" w:lineRule="auto"/>
              <w:jc w:val="both"/>
              <w:outlineLvl w:val="0"/>
              <w:rPr>
                <w:rFonts w:ascii="Times New Roman" w:hAnsi="Times New Roman" w:eastAsia="Times New Roman" w:cs="Times New Roman"/>
                <w:b/>
                <w:sz w:val="28"/>
                <w:szCs w:val="28"/>
              </w:rPr>
            </w:pPr>
            <w:r>
              <w:rPr>
                <w:rFonts w:ascii="Times New Roman" w:hAnsi="Times New Roman" w:eastAsia="Times New Roman" w:cs="Times New Roman"/>
                <w:b/>
                <w:sz w:val="28"/>
                <w:szCs w:val="28"/>
              </w:rPr>
              <w:t>0,009</w:t>
            </w:r>
            <w:r>
              <w:rPr>
                <w:rFonts w:ascii="Times New Roman" w:hAnsi="Times New Roman" w:eastAsia="Times New Roman" w:cs="Times New Roman"/>
                <w:b/>
                <w:i/>
                <w:sz w:val="28"/>
                <w:szCs w:val="28"/>
              </w:rPr>
              <w:t>*</w:t>
            </w:r>
          </w:p>
        </w:tc>
        <w:tc>
          <w:tcPr>
            <w:tcW w:w="0" w:type="auto"/>
            <w:tcBorders>
              <w:top w:val="nil"/>
              <w:left w:val="outset" w:color="auto" w:sz="6" w:space="0"/>
              <w:bottom w:val="outset" w:color="auto" w:sz="6" w:space="0"/>
              <w:right w:val="outset" w:color="auto" w:sz="6" w:space="0"/>
            </w:tcBorders>
          </w:tcPr>
          <w:p w14:paraId="2018C70E">
            <w:pPr>
              <w:widowControl w:val="0"/>
              <w:autoSpaceDE w:val="0"/>
              <w:autoSpaceDN w:val="0"/>
              <w:spacing w:after="0" w:line="276" w:lineRule="auto"/>
              <w:jc w:val="both"/>
              <w:outlineLvl w:val="0"/>
              <w:rPr>
                <w:rFonts w:ascii="Times New Roman" w:hAnsi="Times New Roman" w:eastAsia="Times New Roman" w:cs="Times New Roman"/>
                <w:b/>
                <w:sz w:val="28"/>
                <w:szCs w:val="28"/>
              </w:rPr>
            </w:pPr>
            <w:r>
              <w:rPr>
                <w:rFonts w:ascii="Times New Roman" w:hAnsi="Times New Roman" w:eastAsia="Times New Roman" w:cs="Times New Roman"/>
                <w:b/>
                <w:sz w:val="28"/>
                <w:szCs w:val="28"/>
              </w:rPr>
              <w:t>2,204</w:t>
            </w:r>
          </w:p>
        </w:tc>
        <w:tc>
          <w:tcPr>
            <w:tcW w:w="0" w:type="auto"/>
            <w:tcBorders>
              <w:top w:val="nil"/>
              <w:left w:val="outset" w:color="auto" w:sz="6" w:space="0"/>
              <w:bottom w:val="outset" w:color="auto" w:sz="6" w:space="0"/>
              <w:right w:val="outset" w:color="auto" w:sz="6" w:space="0"/>
            </w:tcBorders>
          </w:tcPr>
          <w:p w14:paraId="71991C34">
            <w:pPr>
              <w:widowControl w:val="0"/>
              <w:autoSpaceDE w:val="0"/>
              <w:autoSpaceDN w:val="0"/>
              <w:spacing w:after="0" w:line="276" w:lineRule="auto"/>
              <w:jc w:val="both"/>
              <w:outlineLvl w:val="0"/>
              <w:rPr>
                <w:rFonts w:ascii="Times New Roman" w:hAnsi="Times New Roman" w:eastAsia="Times New Roman" w:cs="Times New Roman"/>
                <w:b/>
                <w:sz w:val="28"/>
                <w:szCs w:val="28"/>
              </w:rPr>
            </w:pPr>
            <w:r>
              <w:rPr>
                <w:rFonts w:ascii="Times New Roman" w:hAnsi="Times New Roman" w:eastAsia="Times New Roman" w:cs="Times New Roman"/>
                <w:b/>
                <w:sz w:val="28"/>
                <w:szCs w:val="28"/>
              </w:rPr>
              <w:t>0,028</w:t>
            </w:r>
            <w:r>
              <w:rPr>
                <w:rFonts w:ascii="Times New Roman" w:hAnsi="Times New Roman" w:eastAsia="Times New Roman" w:cs="Times New Roman"/>
                <w:b/>
                <w:i/>
                <w:sz w:val="28"/>
                <w:szCs w:val="28"/>
              </w:rPr>
              <w:t>*</w:t>
            </w:r>
          </w:p>
        </w:tc>
        <w:tc>
          <w:tcPr>
            <w:tcW w:w="0" w:type="auto"/>
            <w:tcBorders>
              <w:top w:val="nil"/>
              <w:left w:val="outset" w:color="auto" w:sz="6" w:space="0"/>
              <w:bottom w:val="outset" w:color="auto" w:sz="6" w:space="0"/>
              <w:right w:val="outset" w:color="auto" w:sz="6" w:space="0"/>
            </w:tcBorders>
          </w:tcPr>
          <w:p w14:paraId="19DBF8F8">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–0,390</w:t>
            </w:r>
          </w:p>
        </w:tc>
        <w:tc>
          <w:tcPr>
            <w:tcW w:w="0" w:type="auto"/>
            <w:tcBorders>
              <w:top w:val="nil"/>
              <w:left w:val="outset" w:color="auto" w:sz="6" w:space="0"/>
              <w:bottom w:val="outset" w:color="auto" w:sz="6" w:space="0"/>
              <w:right w:val="outset" w:color="auto" w:sz="6" w:space="0"/>
            </w:tcBorders>
          </w:tcPr>
          <w:p w14:paraId="26EB0229">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0,696</w:t>
            </w:r>
          </w:p>
        </w:tc>
      </w:tr>
      <w:tr w14:paraId="3EE08D03">
        <w:tblPrEx>
          <w:tblCellMar>
            <w:top w:w="15" w:type="dxa"/>
            <w:left w:w="15" w:type="dxa"/>
            <w:bottom w:w="15" w:type="dxa"/>
            <w:right w:w="15" w:type="dxa"/>
          </w:tblCellMar>
        </w:tblPrEx>
        <w:tc>
          <w:tcPr>
            <w:tcW w:w="0" w:type="auto"/>
            <w:tcBorders>
              <w:top w:val="nil"/>
              <w:left w:val="outset" w:color="auto" w:sz="6" w:space="0"/>
              <w:bottom w:val="outset" w:color="auto" w:sz="6" w:space="0"/>
              <w:right w:val="outset" w:color="auto" w:sz="6" w:space="0"/>
            </w:tcBorders>
          </w:tcPr>
          <w:p w14:paraId="4BBFA423">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Фибрионоген, г/л</w:t>
            </w:r>
          </w:p>
        </w:tc>
        <w:tc>
          <w:tcPr>
            <w:tcW w:w="0" w:type="auto"/>
            <w:tcBorders>
              <w:top w:val="nil"/>
              <w:left w:val="outset" w:color="auto" w:sz="6" w:space="0"/>
              <w:bottom w:val="outset" w:color="auto" w:sz="6" w:space="0"/>
              <w:right w:val="outset" w:color="auto" w:sz="6" w:space="0"/>
            </w:tcBorders>
          </w:tcPr>
          <w:p w14:paraId="1208B985">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0,288</w:t>
            </w:r>
          </w:p>
        </w:tc>
        <w:tc>
          <w:tcPr>
            <w:tcW w:w="0" w:type="auto"/>
            <w:tcBorders>
              <w:top w:val="nil"/>
              <w:left w:val="outset" w:color="auto" w:sz="6" w:space="0"/>
              <w:bottom w:val="outset" w:color="auto" w:sz="6" w:space="0"/>
              <w:right w:val="outset" w:color="auto" w:sz="6" w:space="0"/>
            </w:tcBorders>
          </w:tcPr>
          <w:p w14:paraId="73C1DEE2">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0,773</w:t>
            </w:r>
          </w:p>
        </w:tc>
        <w:tc>
          <w:tcPr>
            <w:tcW w:w="0" w:type="auto"/>
            <w:tcBorders>
              <w:top w:val="nil"/>
              <w:left w:val="outset" w:color="auto" w:sz="6" w:space="0"/>
              <w:bottom w:val="outset" w:color="auto" w:sz="6" w:space="0"/>
              <w:right w:val="outset" w:color="auto" w:sz="6" w:space="0"/>
            </w:tcBorders>
          </w:tcPr>
          <w:p w14:paraId="6F906D73">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1,591</w:t>
            </w:r>
          </w:p>
        </w:tc>
        <w:tc>
          <w:tcPr>
            <w:tcW w:w="0" w:type="auto"/>
            <w:tcBorders>
              <w:top w:val="nil"/>
              <w:left w:val="outset" w:color="auto" w:sz="6" w:space="0"/>
              <w:bottom w:val="outset" w:color="auto" w:sz="6" w:space="0"/>
              <w:right w:val="outset" w:color="auto" w:sz="6" w:space="0"/>
            </w:tcBorders>
          </w:tcPr>
          <w:p w14:paraId="12C3BD9B">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0,112</w:t>
            </w:r>
          </w:p>
        </w:tc>
        <w:tc>
          <w:tcPr>
            <w:tcW w:w="0" w:type="auto"/>
            <w:tcBorders>
              <w:top w:val="nil"/>
              <w:left w:val="outset" w:color="auto" w:sz="6" w:space="0"/>
              <w:bottom w:val="outset" w:color="auto" w:sz="6" w:space="0"/>
              <w:right w:val="outset" w:color="auto" w:sz="6" w:space="0"/>
            </w:tcBorders>
          </w:tcPr>
          <w:p w14:paraId="7A4D9B47">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–1,698</w:t>
            </w:r>
          </w:p>
        </w:tc>
        <w:tc>
          <w:tcPr>
            <w:tcW w:w="0" w:type="auto"/>
            <w:tcBorders>
              <w:top w:val="nil"/>
              <w:left w:val="outset" w:color="auto" w:sz="6" w:space="0"/>
              <w:bottom w:val="outset" w:color="auto" w:sz="6" w:space="0"/>
              <w:right w:val="outset" w:color="auto" w:sz="6" w:space="0"/>
            </w:tcBorders>
          </w:tcPr>
          <w:p w14:paraId="0E4AE6EF">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0,089</w:t>
            </w:r>
          </w:p>
        </w:tc>
        <w:tc>
          <w:tcPr>
            <w:tcW w:w="0" w:type="auto"/>
            <w:tcBorders>
              <w:top w:val="nil"/>
              <w:left w:val="outset" w:color="auto" w:sz="6" w:space="0"/>
              <w:bottom w:val="outset" w:color="auto" w:sz="6" w:space="0"/>
              <w:right w:val="outset" w:color="auto" w:sz="6" w:space="0"/>
            </w:tcBorders>
          </w:tcPr>
          <w:p w14:paraId="6A8A2747">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0,750</w:t>
            </w:r>
          </w:p>
        </w:tc>
        <w:tc>
          <w:tcPr>
            <w:tcW w:w="0" w:type="auto"/>
            <w:tcBorders>
              <w:top w:val="nil"/>
              <w:left w:val="outset" w:color="auto" w:sz="6" w:space="0"/>
              <w:bottom w:val="outset" w:color="auto" w:sz="6" w:space="0"/>
              <w:right w:val="outset" w:color="auto" w:sz="6" w:space="0"/>
            </w:tcBorders>
          </w:tcPr>
          <w:p w14:paraId="5111C16F">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0,453</w:t>
            </w:r>
          </w:p>
        </w:tc>
        <w:tc>
          <w:tcPr>
            <w:tcW w:w="0" w:type="auto"/>
            <w:tcBorders>
              <w:top w:val="nil"/>
              <w:left w:val="outset" w:color="auto" w:sz="6" w:space="0"/>
              <w:bottom w:val="outset" w:color="auto" w:sz="6" w:space="0"/>
              <w:right w:val="outset" w:color="auto" w:sz="6" w:space="0"/>
            </w:tcBorders>
          </w:tcPr>
          <w:p w14:paraId="313695B8">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–1,269</w:t>
            </w:r>
          </w:p>
        </w:tc>
        <w:tc>
          <w:tcPr>
            <w:tcW w:w="0" w:type="auto"/>
            <w:tcBorders>
              <w:top w:val="nil"/>
              <w:left w:val="outset" w:color="auto" w:sz="6" w:space="0"/>
              <w:bottom w:val="outset" w:color="auto" w:sz="6" w:space="0"/>
              <w:right w:val="outset" w:color="auto" w:sz="6" w:space="0"/>
            </w:tcBorders>
          </w:tcPr>
          <w:p w14:paraId="161A77E2">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0,204</w:t>
            </w:r>
          </w:p>
        </w:tc>
        <w:tc>
          <w:tcPr>
            <w:tcW w:w="0" w:type="auto"/>
            <w:tcBorders>
              <w:top w:val="nil"/>
              <w:left w:val="outset" w:color="auto" w:sz="6" w:space="0"/>
              <w:bottom w:val="outset" w:color="auto" w:sz="6" w:space="0"/>
              <w:right w:val="outset" w:color="auto" w:sz="6" w:space="0"/>
            </w:tcBorders>
          </w:tcPr>
          <w:p w14:paraId="1075C9E2">
            <w:pPr>
              <w:widowControl w:val="0"/>
              <w:autoSpaceDE w:val="0"/>
              <w:autoSpaceDN w:val="0"/>
              <w:spacing w:after="0" w:line="276" w:lineRule="auto"/>
              <w:jc w:val="both"/>
              <w:outlineLvl w:val="0"/>
              <w:rPr>
                <w:rFonts w:ascii="Times New Roman" w:hAnsi="Times New Roman" w:eastAsia="Times New Roman" w:cs="Times New Roman"/>
                <w:b/>
                <w:sz w:val="28"/>
                <w:szCs w:val="28"/>
              </w:rPr>
            </w:pPr>
            <w:r>
              <w:rPr>
                <w:rFonts w:ascii="Times New Roman" w:hAnsi="Times New Roman" w:eastAsia="Times New Roman" w:cs="Times New Roman"/>
                <w:b/>
                <w:sz w:val="28"/>
                <w:szCs w:val="28"/>
              </w:rPr>
              <w:t>–2,352</w:t>
            </w:r>
          </w:p>
        </w:tc>
        <w:tc>
          <w:tcPr>
            <w:tcW w:w="0" w:type="auto"/>
            <w:tcBorders>
              <w:top w:val="nil"/>
              <w:left w:val="outset" w:color="auto" w:sz="6" w:space="0"/>
              <w:bottom w:val="outset" w:color="auto" w:sz="6" w:space="0"/>
              <w:right w:val="outset" w:color="auto" w:sz="6" w:space="0"/>
            </w:tcBorders>
          </w:tcPr>
          <w:p w14:paraId="11CEA019">
            <w:pPr>
              <w:widowControl w:val="0"/>
              <w:autoSpaceDE w:val="0"/>
              <w:autoSpaceDN w:val="0"/>
              <w:spacing w:after="0" w:line="276" w:lineRule="auto"/>
              <w:jc w:val="both"/>
              <w:outlineLvl w:val="0"/>
              <w:rPr>
                <w:rFonts w:ascii="Times New Roman" w:hAnsi="Times New Roman" w:eastAsia="Times New Roman" w:cs="Times New Roman"/>
                <w:b/>
                <w:sz w:val="28"/>
                <w:szCs w:val="28"/>
              </w:rPr>
            </w:pPr>
            <w:r>
              <w:rPr>
                <w:rFonts w:ascii="Times New Roman" w:hAnsi="Times New Roman" w:eastAsia="Times New Roman" w:cs="Times New Roman"/>
                <w:b/>
                <w:sz w:val="28"/>
                <w:szCs w:val="28"/>
              </w:rPr>
              <w:t>0,019</w:t>
            </w:r>
            <w:r>
              <w:rPr>
                <w:rFonts w:ascii="Times New Roman" w:hAnsi="Times New Roman" w:eastAsia="Times New Roman" w:cs="Times New Roman"/>
                <w:b/>
                <w:i/>
                <w:sz w:val="28"/>
                <w:szCs w:val="28"/>
              </w:rPr>
              <w:t>*</w:t>
            </w:r>
          </w:p>
        </w:tc>
      </w:tr>
      <w:tr w14:paraId="44E3ADAA">
        <w:tblPrEx>
          <w:tblCellMar>
            <w:top w:w="15" w:type="dxa"/>
            <w:left w:w="15" w:type="dxa"/>
            <w:bottom w:w="15" w:type="dxa"/>
            <w:right w:w="15" w:type="dxa"/>
          </w:tblCellMar>
        </w:tblPrEx>
        <w:tc>
          <w:tcPr>
            <w:tcW w:w="0" w:type="auto"/>
            <w:tcBorders>
              <w:top w:val="nil"/>
              <w:left w:val="outset" w:color="auto" w:sz="6" w:space="0"/>
              <w:bottom w:val="outset" w:color="auto" w:sz="6" w:space="0"/>
              <w:right w:val="outset" w:color="auto" w:sz="6" w:space="0"/>
            </w:tcBorders>
          </w:tcPr>
          <w:p w14:paraId="478E9331">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Жалпы ақуыз</w:t>
            </w:r>
          </w:p>
        </w:tc>
        <w:tc>
          <w:tcPr>
            <w:tcW w:w="0" w:type="auto"/>
            <w:tcBorders>
              <w:top w:val="nil"/>
              <w:left w:val="outset" w:color="auto" w:sz="6" w:space="0"/>
              <w:bottom w:val="outset" w:color="auto" w:sz="6" w:space="0"/>
              <w:right w:val="outset" w:color="auto" w:sz="6" w:space="0"/>
            </w:tcBorders>
          </w:tcPr>
          <w:p w14:paraId="43B1963E">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0,931</w:t>
            </w:r>
          </w:p>
        </w:tc>
        <w:tc>
          <w:tcPr>
            <w:tcW w:w="0" w:type="auto"/>
            <w:tcBorders>
              <w:top w:val="nil"/>
              <w:left w:val="outset" w:color="auto" w:sz="6" w:space="0"/>
              <w:bottom w:val="outset" w:color="auto" w:sz="6" w:space="0"/>
              <w:right w:val="outset" w:color="auto" w:sz="6" w:space="0"/>
            </w:tcBorders>
          </w:tcPr>
          <w:p w14:paraId="0EDDA164">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0,352</w:t>
            </w:r>
          </w:p>
        </w:tc>
        <w:tc>
          <w:tcPr>
            <w:tcW w:w="0" w:type="auto"/>
            <w:tcBorders>
              <w:top w:val="nil"/>
              <w:left w:val="outset" w:color="auto" w:sz="6" w:space="0"/>
              <w:bottom w:val="outset" w:color="auto" w:sz="6" w:space="0"/>
              <w:right w:val="outset" w:color="auto" w:sz="6" w:space="0"/>
            </w:tcBorders>
          </w:tcPr>
          <w:p w14:paraId="67853D23">
            <w:pPr>
              <w:widowControl w:val="0"/>
              <w:autoSpaceDE w:val="0"/>
              <w:autoSpaceDN w:val="0"/>
              <w:spacing w:after="0" w:line="276" w:lineRule="auto"/>
              <w:jc w:val="both"/>
              <w:outlineLvl w:val="0"/>
              <w:rPr>
                <w:rFonts w:ascii="Times New Roman" w:hAnsi="Times New Roman" w:eastAsia="Times New Roman" w:cs="Times New Roman"/>
                <w:b/>
                <w:sz w:val="28"/>
                <w:szCs w:val="28"/>
              </w:rPr>
            </w:pPr>
            <w:r>
              <w:rPr>
                <w:rFonts w:ascii="Times New Roman" w:hAnsi="Times New Roman" w:eastAsia="Times New Roman" w:cs="Times New Roman"/>
                <w:b/>
                <w:sz w:val="28"/>
                <w:szCs w:val="28"/>
              </w:rPr>
              <w:t>3,307</w:t>
            </w:r>
          </w:p>
        </w:tc>
        <w:tc>
          <w:tcPr>
            <w:tcW w:w="0" w:type="auto"/>
            <w:tcBorders>
              <w:top w:val="nil"/>
              <w:left w:val="outset" w:color="auto" w:sz="6" w:space="0"/>
              <w:bottom w:val="outset" w:color="auto" w:sz="6" w:space="0"/>
              <w:right w:val="outset" w:color="auto" w:sz="6" w:space="0"/>
            </w:tcBorders>
          </w:tcPr>
          <w:p w14:paraId="7D875050">
            <w:pPr>
              <w:widowControl w:val="0"/>
              <w:autoSpaceDE w:val="0"/>
              <w:autoSpaceDN w:val="0"/>
              <w:spacing w:after="0" w:line="276" w:lineRule="auto"/>
              <w:jc w:val="both"/>
              <w:outlineLvl w:val="0"/>
              <w:rPr>
                <w:rFonts w:ascii="Times New Roman" w:hAnsi="Times New Roman" w:eastAsia="Times New Roman" w:cs="Times New Roman"/>
                <w:b/>
                <w:sz w:val="28"/>
                <w:szCs w:val="28"/>
              </w:rPr>
            </w:pPr>
            <w:r>
              <w:rPr>
                <w:rFonts w:ascii="Times New Roman" w:hAnsi="Times New Roman" w:eastAsia="Times New Roman" w:cs="Times New Roman"/>
                <w:b/>
                <w:sz w:val="28"/>
                <w:szCs w:val="28"/>
              </w:rPr>
              <w:t>0,001</w:t>
            </w:r>
            <w:r>
              <w:rPr>
                <w:rFonts w:ascii="Times New Roman" w:hAnsi="Times New Roman" w:eastAsia="Times New Roman" w:cs="Times New Roman"/>
                <w:b/>
                <w:i/>
                <w:sz w:val="28"/>
                <w:szCs w:val="28"/>
              </w:rPr>
              <w:t>*</w:t>
            </w:r>
          </w:p>
        </w:tc>
        <w:tc>
          <w:tcPr>
            <w:tcW w:w="0" w:type="auto"/>
            <w:tcBorders>
              <w:top w:val="nil"/>
              <w:left w:val="outset" w:color="auto" w:sz="6" w:space="0"/>
              <w:bottom w:val="outset" w:color="auto" w:sz="6" w:space="0"/>
              <w:right w:val="outset" w:color="auto" w:sz="6" w:space="0"/>
            </w:tcBorders>
          </w:tcPr>
          <w:p w14:paraId="4B20FCC8">
            <w:pPr>
              <w:widowControl w:val="0"/>
              <w:autoSpaceDE w:val="0"/>
              <w:autoSpaceDN w:val="0"/>
              <w:spacing w:after="0" w:line="276" w:lineRule="auto"/>
              <w:jc w:val="both"/>
              <w:outlineLvl w:val="0"/>
              <w:rPr>
                <w:rFonts w:ascii="Times New Roman" w:hAnsi="Times New Roman" w:eastAsia="Times New Roman" w:cs="Times New Roman"/>
                <w:b/>
                <w:sz w:val="28"/>
                <w:szCs w:val="28"/>
              </w:rPr>
            </w:pPr>
            <w:r>
              <w:rPr>
                <w:rFonts w:ascii="Times New Roman" w:hAnsi="Times New Roman" w:eastAsia="Times New Roman" w:cs="Times New Roman"/>
                <w:b/>
                <w:sz w:val="28"/>
                <w:szCs w:val="28"/>
              </w:rPr>
              <w:t>3,373</w:t>
            </w:r>
          </w:p>
        </w:tc>
        <w:tc>
          <w:tcPr>
            <w:tcW w:w="0" w:type="auto"/>
            <w:tcBorders>
              <w:top w:val="nil"/>
              <w:left w:val="outset" w:color="auto" w:sz="6" w:space="0"/>
              <w:bottom w:val="outset" w:color="auto" w:sz="6" w:space="0"/>
              <w:right w:val="outset" w:color="auto" w:sz="6" w:space="0"/>
            </w:tcBorders>
          </w:tcPr>
          <w:p w14:paraId="4B8E57E7">
            <w:pPr>
              <w:widowControl w:val="0"/>
              <w:autoSpaceDE w:val="0"/>
              <w:autoSpaceDN w:val="0"/>
              <w:spacing w:after="0" w:line="276" w:lineRule="auto"/>
              <w:jc w:val="both"/>
              <w:outlineLvl w:val="0"/>
              <w:rPr>
                <w:rFonts w:ascii="Times New Roman" w:hAnsi="Times New Roman" w:eastAsia="Times New Roman" w:cs="Times New Roman"/>
                <w:b/>
                <w:sz w:val="28"/>
                <w:szCs w:val="28"/>
              </w:rPr>
            </w:pPr>
            <w:r>
              <w:rPr>
                <w:rFonts w:ascii="Times New Roman" w:hAnsi="Times New Roman" w:eastAsia="Times New Roman" w:cs="Times New Roman"/>
                <w:b/>
                <w:sz w:val="28"/>
                <w:szCs w:val="28"/>
              </w:rPr>
              <w:t>0,001</w:t>
            </w:r>
            <w:r>
              <w:rPr>
                <w:rFonts w:ascii="Times New Roman" w:hAnsi="Times New Roman" w:eastAsia="Times New Roman" w:cs="Times New Roman"/>
                <w:b/>
                <w:i/>
                <w:sz w:val="28"/>
                <w:szCs w:val="28"/>
              </w:rPr>
              <w:t>*</w:t>
            </w:r>
          </w:p>
        </w:tc>
        <w:tc>
          <w:tcPr>
            <w:tcW w:w="0" w:type="auto"/>
            <w:tcBorders>
              <w:top w:val="nil"/>
              <w:left w:val="outset" w:color="auto" w:sz="6" w:space="0"/>
              <w:bottom w:val="outset" w:color="auto" w:sz="6" w:space="0"/>
              <w:right w:val="outset" w:color="auto" w:sz="6" w:space="0"/>
            </w:tcBorders>
          </w:tcPr>
          <w:p w14:paraId="2ECF0B31">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1,606</w:t>
            </w:r>
          </w:p>
        </w:tc>
        <w:tc>
          <w:tcPr>
            <w:tcW w:w="0" w:type="auto"/>
            <w:tcBorders>
              <w:top w:val="nil"/>
              <w:left w:val="outset" w:color="auto" w:sz="6" w:space="0"/>
              <w:bottom w:val="outset" w:color="auto" w:sz="6" w:space="0"/>
              <w:right w:val="outset" w:color="auto" w:sz="6" w:space="0"/>
            </w:tcBorders>
          </w:tcPr>
          <w:p w14:paraId="57ED1B36">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0,108</w:t>
            </w:r>
          </w:p>
        </w:tc>
        <w:tc>
          <w:tcPr>
            <w:tcW w:w="0" w:type="auto"/>
            <w:tcBorders>
              <w:top w:val="nil"/>
              <w:left w:val="outset" w:color="auto" w:sz="6" w:space="0"/>
              <w:bottom w:val="outset" w:color="auto" w:sz="6" w:space="0"/>
              <w:right w:val="outset" w:color="auto" w:sz="6" w:space="0"/>
            </w:tcBorders>
          </w:tcPr>
          <w:p w14:paraId="3E39BA3D">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1,840</w:t>
            </w:r>
          </w:p>
        </w:tc>
        <w:tc>
          <w:tcPr>
            <w:tcW w:w="0" w:type="auto"/>
            <w:tcBorders>
              <w:top w:val="nil"/>
              <w:left w:val="outset" w:color="auto" w:sz="6" w:space="0"/>
              <w:bottom w:val="outset" w:color="auto" w:sz="6" w:space="0"/>
              <w:right w:val="outset" w:color="auto" w:sz="6" w:space="0"/>
            </w:tcBorders>
          </w:tcPr>
          <w:p w14:paraId="47AA84E9">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0,066</w:t>
            </w:r>
          </w:p>
        </w:tc>
        <w:tc>
          <w:tcPr>
            <w:tcW w:w="0" w:type="auto"/>
            <w:tcBorders>
              <w:top w:val="nil"/>
              <w:left w:val="outset" w:color="auto" w:sz="6" w:space="0"/>
              <w:bottom w:val="outset" w:color="auto" w:sz="6" w:space="0"/>
              <w:right w:val="outset" w:color="auto" w:sz="6" w:space="0"/>
            </w:tcBorders>
          </w:tcPr>
          <w:p w14:paraId="73B9B4CF">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0,310</w:t>
            </w:r>
          </w:p>
        </w:tc>
        <w:tc>
          <w:tcPr>
            <w:tcW w:w="0" w:type="auto"/>
            <w:tcBorders>
              <w:top w:val="nil"/>
              <w:left w:val="outset" w:color="auto" w:sz="6" w:space="0"/>
              <w:bottom w:val="outset" w:color="auto" w:sz="6" w:space="0"/>
              <w:right w:val="outset" w:color="auto" w:sz="6" w:space="0"/>
            </w:tcBorders>
          </w:tcPr>
          <w:p w14:paraId="365A650E">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0,756</w:t>
            </w:r>
          </w:p>
        </w:tc>
      </w:tr>
      <w:tr w14:paraId="0A312E48">
        <w:tblPrEx>
          <w:tblCellMar>
            <w:top w:w="15" w:type="dxa"/>
            <w:left w:w="15" w:type="dxa"/>
            <w:bottom w:w="15" w:type="dxa"/>
            <w:right w:w="15" w:type="dxa"/>
          </w:tblCellMar>
        </w:tblPrEx>
        <w:tc>
          <w:tcPr>
            <w:tcW w:w="0" w:type="auto"/>
            <w:tcBorders>
              <w:top w:val="nil"/>
              <w:left w:val="outset" w:color="auto" w:sz="6" w:space="0"/>
              <w:bottom w:val="outset" w:color="auto" w:sz="6" w:space="0"/>
              <w:right w:val="outset" w:color="auto" w:sz="6" w:space="0"/>
            </w:tcBorders>
          </w:tcPr>
          <w:p w14:paraId="6D8A3BF4">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Зәр қышқылы</w:t>
            </w:r>
          </w:p>
        </w:tc>
        <w:tc>
          <w:tcPr>
            <w:tcW w:w="0" w:type="auto"/>
            <w:tcBorders>
              <w:top w:val="nil"/>
              <w:left w:val="outset" w:color="auto" w:sz="6" w:space="0"/>
              <w:bottom w:val="outset" w:color="auto" w:sz="6" w:space="0"/>
              <w:right w:val="outset" w:color="auto" w:sz="6" w:space="0"/>
            </w:tcBorders>
          </w:tcPr>
          <w:p w14:paraId="6B2B00BD">
            <w:pPr>
              <w:widowControl w:val="0"/>
              <w:autoSpaceDE w:val="0"/>
              <w:autoSpaceDN w:val="0"/>
              <w:spacing w:after="0" w:line="276" w:lineRule="auto"/>
              <w:jc w:val="both"/>
              <w:outlineLvl w:val="0"/>
              <w:rPr>
                <w:rFonts w:ascii="Times New Roman" w:hAnsi="Times New Roman" w:eastAsia="Times New Roman" w:cs="Times New Roman"/>
                <w:b/>
                <w:sz w:val="28"/>
                <w:szCs w:val="28"/>
              </w:rPr>
            </w:pPr>
            <w:r>
              <w:rPr>
                <w:rFonts w:ascii="Times New Roman" w:hAnsi="Times New Roman" w:eastAsia="Times New Roman" w:cs="Times New Roman"/>
                <w:b/>
                <w:sz w:val="28"/>
                <w:szCs w:val="28"/>
              </w:rPr>
              <w:t>2,085</w:t>
            </w:r>
          </w:p>
        </w:tc>
        <w:tc>
          <w:tcPr>
            <w:tcW w:w="0" w:type="auto"/>
            <w:tcBorders>
              <w:top w:val="nil"/>
              <w:left w:val="outset" w:color="auto" w:sz="6" w:space="0"/>
              <w:bottom w:val="outset" w:color="auto" w:sz="6" w:space="0"/>
              <w:right w:val="outset" w:color="auto" w:sz="6" w:space="0"/>
            </w:tcBorders>
          </w:tcPr>
          <w:p w14:paraId="6BC851A9">
            <w:pPr>
              <w:widowControl w:val="0"/>
              <w:autoSpaceDE w:val="0"/>
              <w:autoSpaceDN w:val="0"/>
              <w:spacing w:after="0" w:line="276" w:lineRule="auto"/>
              <w:jc w:val="both"/>
              <w:outlineLvl w:val="0"/>
              <w:rPr>
                <w:rFonts w:ascii="Times New Roman" w:hAnsi="Times New Roman" w:eastAsia="Times New Roman" w:cs="Times New Roman"/>
                <w:b/>
                <w:sz w:val="28"/>
                <w:szCs w:val="28"/>
              </w:rPr>
            </w:pPr>
            <w:r>
              <w:rPr>
                <w:rFonts w:ascii="Times New Roman" w:hAnsi="Times New Roman" w:eastAsia="Times New Roman" w:cs="Times New Roman"/>
                <w:b/>
                <w:sz w:val="28"/>
                <w:szCs w:val="28"/>
              </w:rPr>
              <w:t>0,037</w:t>
            </w:r>
            <w:r>
              <w:rPr>
                <w:rFonts w:ascii="Times New Roman" w:hAnsi="Times New Roman" w:eastAsia="Times New Roman" w:cs="Times New Roman"/>
                <w:b/>
                <w:i/>
                <w:sz w:val="28"/>
                <w:szCs w:val="28"/>
              </w:rPr>
              <w:t>*</w:t>
            </w:r>
          </w:p>
        </w:tc>
        <w:tc>
          <w:tcPr>
            <w:tcW w:w="0" w:type="auto"/>
            <w:tcBorders>
              <w:top w:val="nil"/>
              <w:left w:val="outset" w:color="auto" w:sz="6" w:space="0"/>
              <w:bottom w:val="outset" w:color="auto" w:sz="6" w:space="0"/>
              <w:right w:val="outset" w:color="auto" w:sz="6" w:space="0"/>
            </w:tcBorders>
          </w:tcPr>
          <w:p w14:paraId="7EF1BC19">
            <w:pPr>
              <w:widowControl w:val="0"/>
              <w:autoSpaceDE w:val="0"/>
              <w:autoSpaceDN w:val="0"/>
              <w:spacing w:after="0" w:line="276" w:lineRule="auto"/>
              <w:jc w:val="both"/>
              <w:outlineLvl w:val="0"/>
              <w:rPr>
                <w:rFonts w:ascii="Times New Roman" w:hAnsi="Times New Roman" w:eastAsia="Times New Roman" w:cs="Times New Roman"/>
                <w:b/>
                <w:sz w:val="28"/>
                <w:szCs w:val="28"/>
              </w:rPr>
            </w:pPr>
            <w:r>
              <w:rPr>
                <w:rFonts w:ascii="Times New Roman" w:hAnsi="Times New Roman" w:eastAsia="Times New Roman" w:cs="Times New Roman"/>
                <w:b/>
                <w:sz w:val="28"/>
                <w:szCs w:val="28"/>
              </w:rPr>
              <w:t>2,340</w:t>
            </w:r>
          </w:p>
        </w:tc>
        <w:tc>
          <w:tcPr>
            <w:tcW w:w="0" w:type="auto"/>
            <w:tcBorders>
              <w:top w:val="nil"/>
              <w:left w:val="outset" w:color="auto" w:sz="6" w:space="0"/>
              <w:bottom w:val="outset" w:color="auto" w:sz="6" w:space="0"/>
              <w:right w:val="outset" w:color="auto" w:sz="6" w:space="0"/>
            </w:tcBorders>
          </w:tcPr>
          <w:p w14:paraId="1ACA0717">
            <w:pPr>
              <w:widowControl w:val="0"/>
              <w:autoSpaceDE w:val="0"/>
              <w:autoSpaceDN w:val="0"/>
              <w:spacing w:after="0" w:line="276" w:lineRule="auto"/>
              <w:jc w:val="both"/>
              <w:outlineLvl w:val="0"/>
              <w:rPr>
                <w:rFonts w:ascii="Times New Roman" w:hAnsi="Times New Roman" w:eastAsia="Times New Roman" w:cs="Times New Roman"/>
                <w:b/>
                <w:sz w:val="28"/>
                <w:szCs w:val="28"/>
              </w:rPr>
            </w:pPr>
            <w:r>
              <w:rPr>
                <w:rFonts w:ascii="Times New Roman" w:hAnsi="Times New Roman" w:eastAsia="Times New Roman" w:cs="Times New Roman"/>
                <w:b/>
                <w:sz w:val="28"/>
                <w:szCs w:val="28"/>
              </w:rPr>
              <w:t>0,019</w:t>
            </w:r>
            <w:r>
              <w:rPr>
                <w:rFonts w:ascii="Times New Roman" w:hAnsi="Times New Roman" w:eastAsia="Times New Roman" w:cs="Times New Roman"/>
                <w:b/>
                <w:i/>
                <w:sz w:val="28"/>
                <w:szCs w:val="28"/>
              </w:rPr>
              <w:t>*</w:t>
            </w:r>
          </w:p>
        </w:tc>
        <w:tc>
          <w:tcPr>
            <w:tcW w:w="0" w:type="auto"/>
            <w:tcBorders>
              <w:top w:val="nil"/>
              <w:left w:val="outset" w:color="auto" w:sz="6" w:space="0"/>
              <w:bottom w:val="outset" w:color="auto" w:sz="6" w:space="0"/>
              <w:right w:val="outset" w:color="auto" w:sz="6" w:space="0"/>
            </w:tcBorders>
          </w:tcPr>
          <w:p w14:paraId="537EC882">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–0,214</w:t>
            </w:r>
          </w:p>
        </w:tc>
        <w:tc>
          <w:tcPr>
            <w:tcW w:w="0" w:type="auto"/>
            <w:tcBorders>
              <w:top w:val="nil"/>
              <w:left w:val="outset" w:color="auto" w:sz="6" w:space="0"/>
              <w:bottom w:val="outset" w:color="auto" w:sz="6" w:space="0"/>
              <w:right w:val="outset" w:color="auto" w:sz="6" w:space="0"/>
            </w:tcBorders>
          </w:tcPr>
          <w:p w14:paraId="41DF042F">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0,830</w:t>
            </w:r>
          </w:p>
        </w:tc>
        <w:tc>
          <w:tcPr>
            <w:tcW w:w="0" w:type="auto"/>
            <w:tcBorders>
              <w:top w:val="nil"/>
              <w:left w:val="outset" w:color="auto" w:sz="6" w:space="0"/>
              <w:bottom w:val="outset" w:color="auto" w:sz="6" w:space="0"/>
              <w:right w:val="outset" w:color="auto" w:sz="6" w:space="0"/>
            </w:tcBorders>
          </w:tcPr>
          <w:p w14:paraId="23B05A90">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–0,353</w:t>
            </w:r>
          </w:p>
        </w:tc>
        <w:tc>
          <w:tcPr>
            <w:tcW w:w="0" w:type="auto"/>
            <w:tcBorders>
              <w:top w:val="nil"/>
              <w:left w:val="outset" w:color="auto" w:sz="6" w:space="0"/>
              <w:bottom w:val="outset" w:color="auto" w:sz="6" w:space="0"/>
              <w:right w:val="outset" w:color="auto" w:sz="6" w:space="0"/>
            </w:tcBorders>
          </w:tcPr>
          <w:p w14:paraId="3F8F17D6">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0,724</w:t>
            </w:r>
          </w:p>
        </w:tc>
        <w:tc>
          <w:tcPr>
            <w:tcW w:w="0" w:type="auto"/>
            <w:tcBorders>
              <w:top w:val="nil"/>
              <w:left w:val="outset" w:color="auto" w:sz="6" w:space="0"/>
              <w:bottom w:val="outset" w:color="auto" w:sz="6" w:space="0"/>
              <w:right w:val="outset" w:color="auto" w:sz="6" w:space="0"/>
            </w:tcBorders>
          </w:tcPr>
          <w:p w14:paraId="6F923831">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–1,886</w:t>
            </w:r>
          </w:p>
        </w:tc>
        <w:tc>
          <w:tcPr>
            <w:tcW w:w="0" w:type="auto"/>
            <w:tcBorders>
              <w:top w:val="nil"/>
              <w:left w:val="outset" w:color="auto" w:sz="6" w:space="0"/>
              <w:bottom w:val="outset" w:color="auto" w:sz="6" w:space="0"/>
              <w:right w:val="outset" w:color="auto" w:sz="6" w:space="0"/>
            </w:tcBorders>
          </w:tcPr>
          <w:p w14:paraId="5782ACA1">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0,059</w:t>
            </w:r>
          </w:p>
        </w:tc>
        <w:tc>
          <w:tcPr>
            <w:tcW w:w="0" w:type="auto"/>
            <w:tcBorders>
              <w:top w:val="nil"/>
              <w:left w:val="outset" w:color="auto" w:sz="6" w:space="0"/>
              <w:bottom w:val="outset" w:color="auto" w:sz="6" w:space="0"/>
              <w:right w:val="outset" w:color="auto" w:sz="6" w:space="0"/>
            </w:tcBorders>
          </w:tcPr>
          <w:p w14:paraId="4B258E01">
            <w:pPr>
              <w:widowControl w:val="0"/>
              <w:autoSpaceDE w:val="0"/>
              <w:autoSpaceDN w:val="0"/>
              <w:spacing w:after="0" w:line="276" w:lineRule="auto"/>
              <w:jc w:val="both"/>
              <w:outlineLvl w:val="0"/>
              <w:rPr>
                <w:rFonts w:ascii="Times New Roman" w:hAnsi="Times New Roman" w:eastAsia="Times New Roman" w:cs="Times New Roman"/>
                <w:b/>
                <w:sz w:val="28"/>
                <w:szCs w:val="28"/>
              </w:rPr>
            </w:pPr>
            <w:r>
              <w:rPr>
                <w:rFonts w:ascii="Times New Roman" w:hAnsi="Times New Roman" w:eastAsia="Times New Roman" w:cs="Times New Roman"/>
                <w:b/>
                <w:sz w:val="28"/>
                <w:szCs w:val="28"/>
              </w:rPr>
              <w:t>–2,531</w:t>
            </w:r>
          </w:p>
        </w:tc>
        <w:tc>
          <w:tcPr>
            <w:tcW w:w="0" w:type="auto"/>
            <w:tcBorders>
              <w:top w:val="nil"/>
              <w:left w:val="outset" w:color="auto" w:sz="6" w:space="0"/>
              <w:bottom w:val="outset" w:color="auto" w:sz="6" w:space="0"/>
              <w:right w:val="outset" w:color="auto" w:sz="6" w:space="0"/>
            </w:tcBorders>
          </w:tcPr>
          <w:p w14:paraId="7AC59D51">
            <w:pPr>
              <w:widowControl w:val="0"/>
              <w:autoSpaceDE w:val="0"/>
              <w:autoSpaceDN w:val="0"/>
              <w:spacing w:after="0" w:line="276" w:lineRule="auto"/>
              <w:jc w:val="both"/>
              <w:outlineLvl w:val="0"/>
              <w:rPr>
                <w:rFonts w:ascii="Times New Roman" w:hAnsi="Times New Roman" w:eastAsia="Times New Roman" w:cs="Times New Roman"/>
                <w:b/>
                <w:sz w:val="28"/>
                <w:szCs w:val="28"/>
              </w:rPr>
            </w:pPr>
            <w:r>
              <w:rPr>
                <w:rFonts w:ascii="Times New Roman" w:hAnsi="Times New Roman" w:eastAsia="Times New Roman" w:cs="Times New Roman"/>
                <w:b/>
                <w:sz w:val="28"/>
                <w:szCs w:val="28"/>
              </w:rPr>
              <w:t>0,011</w:t>
            </w:r>
            <w:r>
              <w:rPr>
                <w:rFonts w:ascii="Times New Roman" w:hAnsi="Times New Roman" w:eastAsia="Times New Roman" w:cs="Times New Roman"/>
                <w:b/>
                <w:i/>
                <w:sz w:val="28"/>
                <w:szCs w:val="28"/>
              </w:rPr>
              <w:t>*</w:t>
            </w:r>
          </w:p>
        </w:tc>
      </w:tr>
      <w:tr w14:paraId="09375B8F">
        <w:tblPrEx>
          <w:tblCellMar>
            <w:top w:w="15" w:type="dxa"/>
            <w:left w:w="15" w:type="dxa"/>
            <w:bottom w:w="15" w:type="dxa"/>
            <w:right w:w="15" w:type="dxa"/>
          </w:tblCellMar>
        </w:tblPrEx>
        <w:tc>
          <w:tcPr>
            <w:tcW w:w="0" w:type="auto"/>
            <w:tcBorders>
              <w:top w:val="nil"/>
              <w:left w:val="outset" w:color="auto" w:sz="6" w:space="0"/>
              <w:bottom w:val="outset" w:color="auto" w:sz="6" w:space="0"/>
              <w:right w:val="outset" w:color="auto" w:sz="6" w:space="0"/>
            </w:tcBorders>
          </w:tcPr>
          <w:p w14:paraId="1BC92B64">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Креатинин</w:t>
            </w:r>
          </w:p>
        </w:tc>
        <w:tc>
          <w:tcPr>
            <w:tcW w:w="0" w:type="auto"/>
            <w:tcBorders>
              <w:top w:val="nil"/>
              <w:left w:val="outset" w:color="auto" w:sz="6" w:space="0"/>
              <w:bottom w:val="outset" w:color="auto" w:sz="6" w:space="0"/>
              <w:right w:val="outset" w:color="auto" w:sz="6" w:space="0"/>
            </w:tcBorders>
          </w:tcPr>
          <w:p w14:paraId="0F926DC1">
            <w:pPr>
              <w:widowControl w:val="0"/>
              <w:autoSpaceDE w:val="0"/>
              <w:autoSpaceDN w:val="0"/>
              <w:spacing w:after="0" w:line="276" w:lineRule="auto"/>
              <w:jc w:val="both"/>
              <w:outlineLvl w:val="0"/>
              <w:rPr>
                <w:rFonts w:ascii="Times New Roman" w:hAnsi="Times New Roman" w:eastAsia="Times New Roman" w:cs="Times New Roman"/>
                <w:b/>
                <w:sz w:val="28"/>
                <w:szCs w:val="28"/>
              </w:rPr>
            </w:pPr>
            <w:r>
              <w:rPr>
                <w:rFonts w:ascii="Times New Roman" w:hAnsi="Times New Roman" w:eastAsia="Times New Roman" w:cs="Times New Roman"/>
                <w:b/>
                <w:sz w:val="28"/>
                <w:szCs w:val="28"/>
              </w:rPr>
              <w:t>2,325</w:t>
            </w:r>
          </w:p>
        </w:tc>
        <w:tc>
          <w:tcPr>
            <w:tcW w:w="0" w:type="auto"/>
            <w:tcBorders>
              <w:top w:val="nil"/>
              <w:left w:val="outset" w:color="auto" w:sz="6" w:space="0"/>
              <w:bottom w:val="outset" w:color="auto" w:sz="6" w:space="0"/>
              <w:right w:val="outset" w:color="auto" w:sz="6" w:space="0"/>
            </w:tcBorders>
          </w:tcPr>
          <w:p w14:paraId="7F893118">
            <w:pPr>
              <w:widowControl w:val="0"/>
              <w:autoSpaceDE w:val="0"/>
              <w:autoSpaceDN w:val="0"/>
              <w:spacing w:after="0" w:line="276" w:lineRule="auto"/>
              <w:jc w:val="both"/>
              <w:outlineLvl w:val="0"/>
              <w:rPr>
                <w:rFonts w:ascii="Times New Roman" w:hAnsi="Times New Roman" w:eastAsia="Times New Roman" w:cs="Times New Roman"/>
                <w:b/>
                <w:sz w:val="28"/>
                <w:szCs w:val="28"/>
              </w:rPr>
            </w:pPr>
            <w:r>
              <w:rPr>
                <w:rFonts w:ascii="Times New Roman" w:hAnsi="Times New Roman" w:eastAsia="Times New Roman" w:cs="Times New Roman"/>
                <w:b/>
                <w:sz w:val="28"/>
                <w:szCs w:val="28"/>
              </w:rPr>
              <w:t>0,020</w:t>
            </w:r>
            <w:r>
              <w:rPr>
                <w:rFonts w:ascii="Times New Roman" w:hAnsi="Times New Roman" w:eastAsia="Times New Roman" w:cs="Times New Roman"/>
                <w:b/>
                <w:i/>
                <w:sz w:val="28"/>
                <w:szCs w:val="28"/>
              </w:rPr>
              <w:t>*</w:t>
            </w:r>
          </w:p>
        </w:tc>
        <w:tc>
          <w:tcPr>
            <w:tcW w:w="0" w:type="auto"/>
            <w:tcBorders>
              <w:top w:val="nil"/>
              <w:left w:val="outset" w:color="auto" w:sz="6" w:space="0"/>
              <w:bottom w:val="outset" w:color="auto" w:sz="6" w:space="0"/>
              <w:right w:val="outset" w:color="auto" w:sz="6" w:space="0"/>
            </w:tcBorders>
          </w:tcPr>
          <w:p w14:paraId="4D2D5776">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0,815</w:t>
            </w:r>
          </w:p>
        </w:tc>
        <w:tc>
          <w:tcPr>
            <w:tcW w:w="0" w:type="auto"/>
            <w:tcBorders>
              <w:top w:val="nil"/>
              <w:left w:val="outset" w:color="auto" w:sz="6" w:space="0"/>
              <w:bottom w:val="outset" w:color="auto" w:sz="6" w:space="0"/>
              <w:right w:val="outset" w:color="auto" w:sz="6" w:space="0"/>
            </w:tcBorders>
          </w:tcPr>
          <w:p w14:paraId="5F811984">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0,415</w:t>
            </w:r>
          </w:p>
        </w:tc>
        <w:tc>
          <w:tcPr>
            <w:tcW w:w="0" w:type="auto"/>
            <w:tcBorders>
              <w:top w:val="nil"/>
              <w:left w:val="outset" w:color="auto" w:sz="6" w:space="0"/>
              <w:bottom w:val="outset" w:color="auto" w:sz="6" w:space="0"/>
              <w:right w:val="outset" w:color="auto" w:sz="6" w:space="0"/>
            </w:tcBorders>
          </w:tcPr>
          <w:p w14:paraId="76BCBA03">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0,555</w:t>
            </w:r>
          </w:p>
        </w:tc>
        <w:tc>
          <w:tcPr>
            <w:tcW w:w="0" w:type="auto"/>
            <w:tcBorders>
              <w:top w:val="nil"/>
              <w:left w:val="outset" w:color="auto" w:sz="6" w:space="0"/>
              <w:bottom w:val="outset" w:color="auto" w:sz="6" w:space="0"/>
              <w:right w:val="outset" w:color="auto" w:sz="6" w:space="0"/>
            </w:tcBorders>
          </w:tcPr>
          <w:p w14:paraId="4138F5DB">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0,579</w:t>
            </w:r>
          </w:p>
        </w:tc>
        <w:tc>
          <w:tcPr>
            <w:tcW w:w="0" w:type="auto"/>
            <w:tcBorders>
              <w:top w:val="nil"/>
              <w:left w:val="outset" w:color="auto" w:sz="6" w:space="0"/>
              <w:bottom w:val="outset" w:color="auto" w:sz="6" w:space="0"/>
              <w:right w:val="outset" w:color="auto" w:sz="6" w:space="0"/>
            </w:tcBorders>
          </w:tcPr>
          <w:p w14:paraId="413CBAA2">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–1,499</w:t>
            </w:r>
          </w:p>
        </w:tc>
        <w:tc>
          <w:tcPr>
            <w:tcW w:w="0" w:type="auto"/>
            <w:tcBorders>
              <w:top w:val="nil"/>
              <w:left w:val="outset" w:color="auto" w:sz="6" w:space="0"/>
              <w:bottom w:val="outset" w:color="auto" w:sz="6" w:space="0"/>
              <w:right w:val="outset" w:color="auto" w:sz="6" w:space="0"/>
            </w:tcBorders>
          </w:tcPr>
          <w:p w14:paraId="51D0BE27">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0,134</w:t>
            </w:r>
          </w:p>
        </w:tc>
        <w:tc>
          <w:tcPr>
            <w:tcW w:w="0" w:type="auto"/>
            <w:tcBorders>
              <w:top w:val="nil"/>
              <w:left w:val="outset" w:color="auto" w:sz="6" w:space="0"/>
              <w:bottom w:val="outset" w:color="auto" w:sz="6" w:space="0"/>
              <w:right w:val="outset" w:color="auto" w:sz="6" w:space="0"/>
            </w:tcBorders>
          </w:tcPr>
          <w:p w14:paraId="501BCE2F">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–1,316</w:t>
            </w:r>
          </w:p>
        </w:tc>
        <w:tc>
          <w:tcPr>
            <w:tcW w:w="0" w:type="auto"/>
            <w:tcBorders>
              <w:top w:val="nil"/>
              <w:left w:val="outset" w:color="auto" w:sz="6" w:space="0"/>
              <w:bottom w:val="outset" w:color="auto" w:sz="6" w:space="0"/>
              <w:right w:val="outset" w:color="auto" w:sz="6" w:space="0"/>
            </w:tcBorders>
          </w:tcPr>
          <w:p w14:paraId="55C1D01E">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0,188</w:t>
            </w:r>
          </w:p>
        </w:tc>
        <w:tc>
          <w:tcPr>
            <w:tcW w:w="0" w:type="auto"/>
            <w:tcBorders>
              <w:top w:val="nil"/>
              <w:left w:val="outset" w:color="auto" w:sz="6" w:space="0"/>
              <w:bottom w:val="outset" w:color="auto" w:sz="6" w:space="0"/>
              <w:right w:val="outset" w:color="auto" w:sz="6" w:space="0"/>
            </w:tcBorders>
          </w:tcPr>
          <w:p w14:paraId="0759F016">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–0,341</w:t>
            </w:r>
          </w:p>
        </w:tc>
        <w:tc>
          <w:tcPr>
            <w:tcW w:w="0" w:type="auto"/>
            <w:tcBorders>
              <w:top w:val="nil"/>
              <w:left w:val="outset" w:color="auto" w:sz="6" w:space="0"/>
              <w:bottom w:val="outset" w:color="auto" w:sz="6" w:space="0"/>
              <w:right w:val="outset" w:color="auto" w:sz="6" w:space="0"/>
            </w:tcBorders>
          </w:tcPr>
          <w:p w14:paraId="205C1FA9">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0,733</w:t>
            </w:r>
          </w:p>
        </w:tc>
      </w:tr>
      <w:tr w14:paraId="630357FD">
        <w:tblPrEx>
          <w:tblCellMar>
            <w:top w:w="15" w:type="dxa"/>
            <w:left w:w="15" w:type="dxa"/>
            <w:bottom w:w="15" w:type="dxa"/>
            <w:right w:w="15" w:type="dxa"/>
          </w:tblCellMar>
        </w:tblPrEx>
        <w:tc>
          <w:tcPr>
            <w:tcW w:w="0" w:type="auto"/>
            <w:tcBorders>
              <w:top w:val="nil"/>
              <w:left w:val="outset" w:color="auto" w:sz="6" w:space="0"/>
              <w:bottom w:val="outset" w:color="auto" w:sz="6" w:space="0"/>
              <w:right w:val="outset" w:color="auto" w:sz="6" w:space="0"/>
            </w:tcBorders>
          </w:tcPr>
          <w:p w14:paraId="2BC0232A">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Тікелей билирубин</w:t>
            </w:r>
          </w:p>
        </w:tc>
        <w:tc>
          <w:tcPr>
            <w:tcW w:w="0" w:type="auto"/>
            <w:tcBorders>
              <w:top w:val="nil"/>
              <w:left w:val="outset" w:color="auto" w:sz="6" w:space="0"/>
              <w:bottom w:val="outset" w:color="auto" w:sz="6" w:space="0"/>
              <w:right w:val="outset" w:color="auto" w:sz="6" w:space="0"/>
            </w:tcBorders>
          </w:tcPr>
          <w:p w14:paraId="0511CE2A">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1,322</w:t>
            </w:r>
          </w:p>
        </w:tc>
        <w:tc>
          <w:tcPr>
            <w:tcW w:w="0" w:type="auto"/>
            <w:tcBorders>
              <w:top w:val="nil"/>
              <w:left w:val="outset" w:color="auto" w:sz="6" w:space="0"/>
              <w:bottom w:val="outset" w:color="auto" w:sz="6" w:space="0"/>
              <w:right w:val="outset" w:color="auto" w:sz="6" w:space="0"/>
            </w:tcBorders>
          </w:tcPr>
          <w:p w14:paraId="171ED4D0">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0,186</w:t>
            </w:r>
          </w:p>
        </w:tc>
        <w:tc>
          <w:tcPr>
            <w:tcW w:w="0" w:type="auto"/>
            <w:tcBorders>
              <w:top w:val="nil"/>
              <w:left w:val="outset" w:color="auto" w:sz="6" w:space="0"/>
              <w:bottom w:val="outset" w:color="auto" w:sz="6" w:space="0"/>
              <w:right w:val="outset" w:color="auto" w:sz="6" w:space="0"/>
            </w:tcBorders>
          </w:tcPr>
          <w:p w14:paraId="14D6E1D8">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0,673</w:t>
            </w:r>
          </w:p>
        </w:tc>
        <w:tc>
          <w:tcPr>
            <w:tcW w:w="0" w:type="auto"/>
            <w:tcBorders>
              <w:top w:val="nil"/>
              <w:left w:val="outset" w:color="auto" w:sz="6" w:space="0"/>
              <w:bottom w:val="outset" w:color="auto" w:sz="6" w:space="0"/>
              <w:right w:val="outset" w:color="auto" w:sz="6" w:space="0"/>
            </w:tcBorders>
          </w:tcPr>
          <w:p w14:paraId="12A2CA61">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0,501</w:t>
            </w:r>
          </w:p>
        </w:tc>
        <w:tc>
          <w:tcPr>
            <w:tcW w:w="0" w:type="auto"/>
            <w:tcBorders>
              <w:top w:val="nil"/>
              <w:left w:val="outset" w:color="auto" w:sz="6" w:space="0"/>
              <w:bottom w:val="outset" w:color="auto" w:sz="6" w:space="0"/>
              <w:right w:val="outset" w:color="auto" w:sz="6" w:space="0"/>
            </w:tcBorders>
          </w:tcPr>
          <w:p w14:paraId="0A3A937A">
            <w:pPr>
              <w:widowControl w:val="0"/>
              <w:autoSpaceDE w:val="0"/>
              <w:autoSpaceDN w:val="0"/>
              <w:spacing w:after="0" w:line="276" w:lineRule="auto"/>
              <w:jc w:val="both"/>
              <w:outlineLvl w:val="0"/>
              <w:rPr>
                <w:rFonts w:ascii="Times New Roman" w:hAnsi="Times New Roman" w:eastAsia="Times New Roman" w:cs="Times New Roman"/>
                <w:b/>
                <w:sz w:val="28"/>
                <w:szCs w:val="28"/>
              </w:rPr>
            </w:pPr>
            <w:r>
              <w:rPr>
                <w:rFonts w:ascii="Times New Roman" w:hAnsi="Times New Roman" w:eastAsia="Times New Roman" w:cs="Times New Roman"/>
                <w:b/>
                <w:sz w:val="28"/>
                <w:szCs w:val="28"/>
              </w:rPr>
              <w:t>2,841</w:t>
            </w:r>
          </w:p>
        </w:tc>
        <w:tc>
          <w:tcPr>
            <w:tcW w:w="0" w:type="auto"/>
            <w:tcBorders>
              <w:top w:val="nil"/>
              <w:left w:val="outset" w:color="auto" w:sz="6" w:space="0"/>
              <w:bottom w:val="outset" w:color="auto" w:sz="6" w:space="0"/>
              <w:right w:val="outset" w:color="auto" w:sz="6" w:space="0"/>
            </w:tcBorders>
          </w:tcPr>
          <w:p w14:paraId="0438778E">
            <w:pPr>
              <w:widowControl w:val="0"/>
              <w:autoSpaceDE w:val="0"/>
              <w:autoSpaceDN w:val="0"/>
              <w:spacing w:after="0" w:line="276" w:lineRule="auto"/>
              <w:jc w:val="both"/>
              <w:outlineLvl w:val="0"/>
              <w:rPr>
                <w:rFonts w:ascii="Times New Roman" w:hAnsi="Times New Roman" w:eastAsia="Times New Roman" w:cs="Times New Roman"/>
                <w:b/>
                <w:sz w:val="28"/>
                <w:szCs w:val="28"/>
              </w:rPr>
            </w:pPr>
            <w:r>
              <w:rPr>
                <w:rFonts w:ascii="Times New Roman" w:hAnsi="Times New Roman" w:eastAsia="Times New Roman" w:cs="Times New Roman"/>
                <w:b/>
                <w:sz w:val="28"/>
                <w:szCs w:val="28"/>
              </w:rPr>
              <w:t>0,005</w:t>
            </w:r>
            <w:r>
              <w:rPr>
                <w:rFonts w:ascii="Times New Roman" w:hAnsi="Times New Roman" w:eastAsia="Times New Roman" w:cs="Times New Roman"/>
                <w:b/>
                <w:i/>
                <w:sz w:val="28"/>
                <w:szCs w:val="28"/>
              </w:rPr>
              <w:t>*</w:t>
            </w:r>
          </w:p>
        </w:tc>
        <w:tc>
          <w:tcPr>
            <w:tcW w:w="0" w:type="auto"/>
            <w:tcBorders>
              <w:top w:val="nil"/>
              <w:left w:val="outset" w:color="auto" w:sz="6" w:space="0"/>
              <w:bottom w:val="outset" w:color="auto" w:sz="6" w:space="0"/>
              <w:right w:val="outset" w:color="auto" w:sz="6" w:space="0"/>
            </w:tcBorders>
          </w:tcPr>
          <w:p w14:paraId="054F39F6">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–1,062</w:t>
            </w:r>
          </w:p>
        </w:tc>
        <w:tc>
          <w:tcPr>
            <w:tcW w:w="0" w:type="auto"/>
            <w:tcBorders>
              <w:top w:val="nil"/>
              <w:left w:val="outset" w:color="auto" w:sz="6" w:space="0"/>
              <w:bottom w:val="outset" w:color="auto" w:sz="6" w:space="0"/>
              <w:right w:val="outset" w:color="auto" w:sz="6" w:space="0"/>
            </w:tcBorders>
          </w:tcPr>
          <w:p w14:paraId="4B6F4EC2">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0,288</w:t>
            </w:r>
          </w:p>
        </w:tc>
        <w:tc>
          <w:tcPr>
            <w:tcW w:w="0" w:type="auto"/>
            <w:tcBorders>
              <w:top w:val="nil"/>
              <w:left w:val="outset" w:color="auto" w:sz="6" w:space="0"/>
              <w:bottom w:val="outset" w:color="auto" w:sz="6" w:space="0"/>
              <w:right w:val="outset" w:color="auto" w:sz="6" w:space="0"/>
            </w:tcBorders>
          </w:tcPr>
          <w:p w14:paraId="082D51C1">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1,476</w:t>
            </w:r>
          </w:p>
        </w:tc>
        <w:tc>
          <w:tcPr>
            <w:tcW w:w="0" w:type="auto"/>
            <w:tcBorders>
              <w:top w:val="nil"/>
              <w:left w:val="outset" w:color="auto" w:sz="6" w:space="0"/>
              <w:bottom w:val="outset" w:color="auto" w:sz="6" w:space="0"/>
              <w:right w:val="outset" w:color="auto" w:sz="6" w:space="0"/>
            </w:tcBorders>
          </w:tcPr>
          <w:p w14:paraId="4DA61475">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0,140</w:t>
            </w:r>
          </w:p>
        </w:tc>
        <w:tc>
          <w:tcPr>
            <w:tcW w:w="0" w:type="auto"/>
            <w:tcBorders>
              <w:top w:val="nil"/>
              <w:left w:val="outset" w:color="auto" w:sz="6" w:space="0"/>
              <w:bottom w:val="outset" w:color="auto" w:sz="6" w:space="0"/>
              <w:right w:val="outset" w:color="auto" w:sz="6" w:space="0"/>
            </w:tcBorders>
          </w:tcPr>
          <w:p w14:paraId="776BA0F2">
            <w:pPr>
              <w:widowControl w:val="0"/>
              <w:autoSpaceDE w:val="0"/>
              <w:autoSpaceDN w:val="0"/>
              <w:spacing w:after="0" w:line="276" w:lineRule="auto"/>
              <w:jc w:val="both"/>
              <w:outlineLvl w:val="0"/>
              <w:rPr>
                <w:rFonts w:ascii="Times New Roman" w:hAnsi="Times New Roman" w:eastAsia="Times New Roman" w:cs="Times New Roman"/>
                <w:b/>
                <w:sz w:val="28"/>
                <w:szCs w:val="28"/>
              </w:rPr>
            </w:pPr>
            <w:r>
              <w:rPr>
                <w:rFonts w:ascii="Times New Roman" w:hAnsi="Times New Roman" w:eastAsia="Times New Roman" w:cs="Times New Roman"/>
                <w:b/>
                <w:sz w:val="28"/>
                <w:szCs w:val="28"/>
              </w:rPr>
              <w:t>2,200</w:t>
            </w:r>
          </w:p>
        </w:tc>
        <w:tc>
          <w:tcPr>
            <w:tcW w:w="0" w:type="auto"/>
            <w:tcBorders>
              <w:top w:val="nil"/>
              <w:left w:val="outset" w:color="auto" w:sz="6" w:space="0"/>
              <w:bottom w:val="outset" w:color="auto" w:sz="6" w:space="0"/>
              <w:right w:val="outset" w:color="auto" w:sz="6" w:space="0"/>
            </w:tcBorders>
          </w:tcPr>
          <w:p w14:paraId="770A58F3">
            <w:pPr>
              <w:widowControl w:val="0"/>
              <w:autoSpaceDE w:val="0"/>
              <w:autoSpaceDN w:val="0"/>
              <w:spacing w:after="0" w:line="276" w:lineRule="auto"/>
              <w:jc w:val="both"/>
              <w:outlineLvl w:val="0"/>
              <w:rPr>
                <w:rFonts w:ascii="Times New Roman" w:hAnsi="Times New Roman" w:eastAsia="Times New Roman" w:cs="Times New Roman"/>
                <w:b/>
                <w:sz w:val="28"/>
                <w:szCs w:val="28"/>
              </w:rPr>
            </w:pPr>
            <w:r>
              <w:rPr>
                <w:rFonts w:ascii="Times New Roman" w:hAnsi="Times New Roman" w:eastAsia="Times New Roman" w:cs="Times New Roman"/>
                <w:b/>
                <w:sz w:val="28"/>
                <w:szCs w:val="28"/>
              </w:rPr>
              <w:t>0,028</w:t>
            </w:r>
            <w:r>
              <w:rPr>
                <w:rFonts w:ascii="Times New Roman" w:hAnsi="Times New Roman" w:eastAsia="Times New Roman" w:cs="Times New Roman"/>
                <w:b/>
                <w:i/>
                <w:sz w:val="28"/>
                <w:szCs w:val="28"/>
              </w:rPr>
              <w:t>*</w:t>
            </w:r>
          </w:p>
        </w:tc>
      </w:tr>
      <w:tr w14:paraId="318486A0">
        <w:tblPrEx>
          <w:tblCellMar>
            <w:top w:w="15" w:type="dxa"/>
            <w:left w:w="15" w:type="dxa"/>
            <w:bottom w:w="15" w:type="dxa"/>
            <w:right w:w="15" w:type="dxa"/>
          </w:tblCellMar>
        </w:tblPrEx>
        <w:tc>
          <w:tcPr>
            <w:tcW w:w="0" w:type="auto"/>
            <w:tcBorders>
              <w:top w:val="nil"/>
              <w:left w:val="outset" w:color="auto" w:sz="6" w:space="0"/>
              <w:bottom w:val="outset" w:color="auto" w:sz="6" w:space="0"/>
              <w:right w:val="outset" w:color="auto" w:sz="6" w:space="0"/>
            </w:tcBorders>
          </w:tcPr>
          <w:p w14:paraId="12536C8A">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Жалпы билирубин</w:t>
            </w:r>
          </w:p>
        </w:tc>
        <w:tc>
          <w:tcPr>
            <w:tcW w:w="0" w:type="auto"/>
            <w:tcBorders>
              <w:top w:val="nil"/>
              <w:left w:val="outset" w:color="auto" w:sz="6" w:space="0"/>
              <w:bottom w:val="outset" w:color="auto" w:sz="6" w:space="0"/>
              <w:right w:val="outset" w:color="auto" w:sz="6" w:space="0"/>
            </w:tcBorders>
          </w:tcPr>
          <w:p w14:paraId="2577A5A1">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1,576</w:t>
            </w:r>
          </w:p>
        </w:tc>
        <w:tc>
          <w:tcPr>
            <w:tcW w:w="0" w:type="auto"/>
            <w:tcBorders>
              <w:top w:val="nil"/>
              <w:left w:val="outset" w:color="auto" w:sz="6" w:space="0"/>
              <w:bottom w:val="outset" w:color="auto" w:sz="6" w:space="0"/>
              <w:right w:val="outset" w:color="auto" w:sz="6" w:space="0"/>
            </w:tcBorders>
          </w:tcPr>
          <w:p w14:paraId="7A19CD81">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0,115</w:t>
            </w:r>
          </w:p>
        </w:tc>
        <w:tc>
          <w:tcPr>
            <w:tcW w:w="0" w:type="auto"/>
            <w:tcBorders>
              <w:top w:val="nil"/>
              <w:left w:val="outset" w:color="auto" w:sz="6" w:space="0"/>
              <w:bottom w:val="outset" w:color="auto" w:sz="6" w:space="0"/>
              <w:right w:val="outset" w:color="auto" w:sz="6" w:space="0"/>
            </w:tcBorders>
          </w:tcPr>
          <w:p w14:paraId="4AEDBAA9">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0,901</w:t>
            </w:r>
          </w:p>
        </w:tc>
        <w:tc>
          <w:tcPr>
            <w:tcW w:w="0" w:type="auto"/>
            <w:tcBorders>
              <w:top w:val="nil"/>
              <w:left w:val="outset" w:color="auto" w:sz="6" w:space="0"/>
              <w:bottom w:val="outset" w:color="auto" w:sz="6" w:space="0"/>
              <w:right w:val="outset" w:color="auto" w:sz="6" w:space="0"/>
            </w:tcBorders>
          </w:tcPr>
          <w:p w14:paraId="1D1EB558">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0,368</w:t>
            </w:r>
          </w:p>
        </w:tc>
        <w:tc>
          <w:tcPr>
            <w:tcW w:w="0" w:type="auto"/>
            <w:tcBorders>
              <w:top w:val="nil"/>
              <w:left w:val="outset" w:color="auto" w:sz="6" w:space="0"/>
              <w:bottom w:val="outset" w:color="auto" w:sz="6" w:space="0"/>
              <w:right w:val="outset" w:color="auto" w:sz="6" w:space="0"/>
            </w:tcBorders>
          </w:tcPr>
          <w:p w14:paraId="3E1FC38A">
            <w:pPr>
              <w:widowControl w:val="0"/>
              <w:autoSpaceDE w:val="0"/>
              <w:autoSpaceDN w:val="0"/>
              <w:spacing w:after="0" w:line="276" w:lineRule="auto"/>
              <w:jc w:val="both"/>
              <w:outlineLvl w:val="0"/>
              <w:rPr>
                <w:rFonts w:ascii="Times New Roman" w:hAnsi="Times New Roman" w:eastAsia="Times New Roman" w:cs="Times New Roman"/>
                <w:b/>
                <w:sz w:val="28"/>
                <w:szCs w:val="28"/>
              </w:rPr>
            </w:pPr>
            <w:r>
              <w:rPr>
                <w:rFonts w:ascii="Times New Roman" w:hAnsi="Times New Roman" w:eastAsia="Times New Roman" w:cs="Times New Roman"/>
                <w:b/>
                <w:sz w:val="28"/>
                <w:szCs w:val="28"/>
              </w:rPr>
              <w:t>2,444</w:t>
            </w:r>
          </w:p>
        </w:tc>
        <w:tc>
          <w:tcPr>
            <w:tcW w:w="0" w:type="auto"/>
            <w:tcBorders>
              <w:top w:val="nil"/>
              <w:left w:val="outset" w:color="auto" w:sz="6" w:space="0"/>
              <w:bottom w:val="outset" w:color="auto" w:sz="6" w:space="0"/>
              <w:right w:val="outset" w:color="auto" w:sz="6" w:space="0"/>
            </w:tcBorders>
          </w:tcPr>
          <w:p w14:paraId="639D656A">
            <w:pPr>
              <w:widowControl w:val="0"/>
              <w:autoSpaceDE w:val="0"/>
              <w:autoSpaceDN w:val="0"/>
              <w:spacing w:after="0" w:line="276" w:lineRule="auto"/>
              <w:jc w:val="both"/>
              <w:outlineLvl w:val="0"/>
              <w:rPr>
                <w:rFonts w:ascii="Times New Roman" w:hAnsi="Times New Roman" w:eastAsia="Times New Roman" w:cs="Times New Roman"/>
                <w:b/>
                <w:sz w:val="28"/>
                <w:szCs w:val="28"/>
              </w:rPr>
            </w:pPr>
            <w:r>
              <w:rPr>
                <w:rFonts w:ascii="Times New Roman" w:hAnsi="Times New Roman" w:eastAsia="Times New Roman" w:cs="Times New Roman"/>
                <w:b/>
                <w:sz w:val="28"/>
                <w:szCs w:val="28"/>
              </w:rPr>
              <w:t>0,015</w:t>
            </w:r>
            <w:r>
              <w:rPr>
                <w:rFonts w:ascii="Times New Roman" w:hAnsi="Times New Roman" w:eastAsia="Times New Roman" w:cs="Times New Roman"/>
                <w:b/>
                <w:i/>
                <w:sz w:val="28"/>
                <w:szCs w:val="28"/>
              </w:rPr>
              <w:t>*</w:t>
            </w:r>
          </w:p>
        </w:tc>
        <w:tc>
          <w:tcPr>
            <w:tcW w:w="0" w:type="auto"/>
            <w:tcBorders>
              <w:top w:val="nil"/>
              <w:left w:val="outset" w:color="auto" w:sz="6" w:space="0"/>
              <w:bottom w:val="outset" w:color="auto" w:sz="6" w:space="0"/>
              <w:right w:val="outset" w:color="auto" w:sz="6" w:space="0"/>
            </w:tcBorders>
          </w:tcPr>
          <w:p w14:paraId="28487D02">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–1,037</w:t>
            </w:r>
          </w:p>
        </w:tc>
        <w:tc>
          <w:tcPr>
            <w:tcW w:w="0" w:type="auto"/>
            <w:tcBorders>
              <w:top w:val="nil"/>
              <w:left w:val="outset" w:color="auto" w:sz="6" w:space="0"/>
              <w:bottom w:val="outset" w:color="auto" w:sz="6" w:space="0"/>
              <w:right w:val="outset" w:color="auto" w:sz="6" w:space="0"/>
            </w:tcBorders>
          </w:tcPr>
          <w:p w14:paraId="7FF085F9">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0,300</w:t>
            </w:r>
          </w:p>
        </w:tc>
        <w:tc>
          <w:tcPr>
            <w:tcW w:w="0" w:type="auto"/>
            <w:tcBorders>
              <w:top w:val="nil"/>
              <w:left w:val="outset" w:color="auto" w:sz="6" w:space="0"/>
              <w:bottom w:val="outset" w:color="auto" w:sz="6" w:space="0"/>
              <w:right w:val="outset" w:color="auto" w:sz="6" w:space="0"/>
            </w:tcBorders>
          </w:tcPr>
          <w:p w14:paraId="49508FE7">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0,118</w:t>
            </w:r>
          </w:p>
        </w:tc>
        <w:tc>
          <w:tcPr>
            <w:tcW w:w="0" w:type="auto"/>
            <w:tcBorders>
              <w:top w:val="nil"/>
              <w:left w:val="outset" w:color="auto" w:sz="6" w:space="0"/>
              <w:bottom w:val="outset" w:color="auto" w:sz="6" w:space="0"/>
              <w:right w:val="outset" w:color="auto" w:sz="6" w:space="0"/>
            </w:tcBorders>
          </w:tcPr>
          <w:p w14:paraId="32AD60DE">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0,906</w:t>
            </w:r>
          </w:p>
        </w:tc>
        <w:tc>
          <w:tcPr>
            <w:tcW w:w="0" w:type="auto"/>
            <w:tcBorders>
              <w:top w:val="nil"/>
              <w:left w:val="outset" w:color="auto" w:sz="6" w:space="0"/>
              <w:bottom w:val="outset" w:color="auto" w:sz="6" w:space="0"/>
              <w:right w:val="outset" w:color="auto" w:sz="6" w:space="0"/>
            </w:tcBorders>
          </w:tcPr>
          <w:p w14:paraId="4069F738">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1,459</w:t>
            </w:r>
          </w:p>
        </w:tc>
        <w:tc>
          <w:tcPr>
            <w:tcW w:w="0" w:type="auto"/>
            <w:tcBorders>
              <w:top w:val="nil"/>
              <w:left w:val="outset" w:color="auto" w:sz="6" w:space="0"/>
              <w:bottom w:val="outset" w:color="auto" w:sz="6" w:space="0"/>
              <w:right w:val="outset" w:color="auto" w:sz="6" w:space="0"/>
            </w:tcBorders>
          </w:tcPr>
          <w:p w14:paraId="3C3DFFA1">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0,144</w:t>
            </w:r>
          </w:p>
        </w:tc>
      </w:tr>
      <w:tr w14:paraId="1046B36D">
        <w:tblPrEx>
          <w:tblCellMar>
            <w:top w:w="15" w:type="dxa"/>
            <w:left w:w="15" w:type="dxa"/>
            <w:bottom w:w="15" w:type="dxa"/>
            <w:right w:w="15" w:type="dxa"/>
          </w:tblCellMar>
        </w:tblPrEx>
        <w:tc>
          <w:tcPr>
            <w:tcW w:w="0" w:type="auto"/>
            <w:tcBorders>
              <w:top w:val="nil"/>
              <w:left w:val="outset" w:color="auto" w:sz="6" w:space="0"/>
              <w:bottom w:val="outset" w:color="auto" w:sz="6" w:space="0"/>
              <w:right w:val="outset" w:color="auto" w:sz="6" w:space="0"/>
            </w:tcBorders>
          </w:tcPr>
          <w:p w14:paraId="442D7860">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АЛТ</w:t>
            </w:r>
          </w:p>
        </w:tc>
        <w:tc>
          <w:tcPr>
            <w:tcW w:w="0" w:type="auto"/>
            <w:tcBorders>
              <w:top w:val="nil"/>
              <w:left w:val="outset" w:color="auto" w:sz="6" w:space="0"/>
              <w:bottom w:val="outset" w:color="auto" w:sz="6" w:space="0"/>
              <w:right w:val="outset" w:color="auto" w:sz="6" w:space="0"/>
            </w:tcBorders>
          </w:tcPr>
          <w:p w14:paraId="1F6FC2F5">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0,887</w:t>
            </w:r>
          </w:p>
        </w:tc>
        <w:tc>
          <w:tcPr>
            <w:tcW w:w="0" w:type="auto"/>
            <w:tcBorders>
              <w:top w:val="nil"/>
              <w:left w:val="outset" w:color="auto" w:sz="6" w:space="0"/>
              <w:bottom w:val="outset" w:color="auto" w:sz="6" w:space="0"/>
              <w:right w:val="outset" w:color="auto" w:sz="6" w:space="0"/>
            </w:tcBorders>
          </w:tcPr>
          <w:p w14:paraId="1D9700CE">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0,375</w:t>
            </w:r>
          </w:p>
        </w:tc>
        <w:tc>
          <w:tcPr>
            <w:tcW w:w="0" w:type="auto"/>
            <w:tcBorders>
              <w:top w:val="nil"/>
              <w:left w:val="outset" w:color="auto" w:sz="6" w:space="0"/>
              <w:bottom w:val="outset" w:color="auto" w:sz="6" w:space="0"/>
              <w:right w:val="outset" w:color="auto" w:sz="6" w:space="0"/>
            </w:tcBorders>
          </w:tcPr>
          <w:p w14:paraId="4506A378">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0,973</w:t>
            </w:r>
          </w:p>
        </w:tc>
        <w:tc>
          <w:tcPr>
            <w:tcW w:w="0" w:type="auto"/>
            <w:tcBorders>
              <w:top w:val="nil"/>
              <w:left w:val="outset" w:color="auto" w:sz="6" w:space="0"/>
              <w:bottom w:val="outset" w:color="auto" w:sz="6" w:space="0"/>
              <w:right w:val="outset" w:color="auto" w:sz="6" w:space="0"/>
            </w:tcBorders>
          </w:tcPr>
          <w:p w14:paraId="2ABA1B1F">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0,330</w:t>
            </w:r>
          </w:p>
        </w:tc>
        <w:tc>
          <w:tcPr>
            <w:tcW w:w="0" w:type="auto"/>
            <w:tcBorders>
              <w:top w:val="nil"/>
              <w:left w:val="outset" w:color="auto" w:sz="6" w:space="0"/>
              <w:bottom w:val="outset" w:color="auto" w:sz="6" w:space="0"/>
              <w:right w:val="outset" w:color="auto" w:sz="6" w:space="0"/>
            </w:tcBorders>
          </w:tcPr>
          <w:p w14:paraId="40AF36A6">
            <w:pPr>
              <w:widowControl w:val="0"/>
              <w:autoSpaceDE w:val="0"/>
              <w:autoSpaceDN w:val="0"/>
              <w:spacing w:after="0" w:line="276" w:lineRule="auto"/>
              <w:jc w:val="both"/>
              <w:outlineLvl w:val="0"/>
              <w:rPr>
                <w:rFonts w:ascii="Times New Roman" w:hAnsi="Times New Roman" w:eastAsia="Times New Roman" w:cs="Times New Roman"/>
                <w:b/>
                <w:sz w:val="28"/>
                <w:szCs w:val="28"/>
              </w:rPr>
            </w:pPr>
            <w:r>
              <w:rPr>
                <w:rFonts w:ascii="Times New Roman" w:hAnsi="Times New Roman" w:eastAsia="Times New Roman" w:cs="Times New Roman"/>
                <w:b/>
                <w:sz w:val="28"/>
                <w:szCs w:val="28"/>
              </w:rPr>
              <w:t>2,282</w:t>
            </w:r>
          </w:p>
        </w:tc>
        <w:tc>
          <w:tcPr>
            <w:tcW w:w="0" w:type="auto"/>
            <w:tcBorders>
              <w:top w:val="nil"/>
              <w:left w:val="outset" w:color="auto" w:sz="6" w:space="0"/>
              <w:bottom w:val="outset" w:color="auto" w:sz="6" w:space="0"/>
              <w:right w:val="outset" w:color="auto" w:sz="6" w:space="0"/>
            </w:tcBorders>
          </w:tcPr>
          <w:p w14:paraId="1CD05599">
            <w:pPr>
              <w:widowControl w:val="0"/>
              <w:autoSpaceDE w:val="0"/>
              <w:autoSpaceDN w:val="0"/>
              <w:spacing w:after="0" w:line="276" w:lineRule="auto"/>
              <w:jc w:val="both"/>
              <w:outlineLvl w:val="0"/>
              <w:rPr>
                <w:rFonts w:ascii="Times New Roman" w:hAnsi="Times New Roman" w:eastAsia="Times New Roman" w:cs="Times New Roman"/>
                <w:b/>
                <w:sz w:val="28"/>
                <w:szCs w:val="28"/>
              </w:rPr>
            </w:pPr>
            <w:r>
              <w:rPr>
                <w:rFonts w:ascii="Times New Roman" w:hAnsi="Times New Roman" w:eastAsia="Times New Roman" w:cs="Times New Roman"/>
                <w:b/>
                <w:sz w:val="28"/>
                <w:szCs w:val="28"/>
              </w:rPr>
              <w:t>0,022</w:t>
            </w:r>
            <w:r>
              <w:rPr>
                <w:rFonts w:ascii="Times New Roman" w:hAnsi="Times New Roman" w:eastAsia="Times New Roman" w:cs="Times New Roman"/>
                <w:b/>
                <w:i/>
                <w:sz w:val="28"/>
                <w:szCs w:val="28"/>
              </w:rPr>
              <w:t>*</w:t>
            </w:r>
          </w:p>
        </w:tc>
        <w:tc>
          <w:tcPr>
            <w:tcW w:w="0" w:type="auto"/>
            <w:tcBorders>
              <w:top w:val="nil"/>
              <w:left w:val="outset" w:color="auto" w:sz="6" w:space="0"/>
              <w:bottom w:val="outset" w:color="auto" w:sz="6" w:space="0"/>
              <w:right w:val="outset" w:color="auto" w:sz="6" w:space="0"/>
            </w:tcBorders>
          </w:tcPr>
          <w:p w14:paraId="7F709982">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0,046</w:t>
            </w:r>
          </w:p>
        </w:tc>
        <w:tc>
          <w:tcPr>
            <w:tcW w:w="0" w:type="auto"/>
            <w:tcBorders>
              <w:top w:val="nil"/>
              <w:left w:val="outset" w:color="auto" w:sz="6" w:space="0"/>
              <w:bottom w:val="outset" w:color="auto" w:sz="6" w:space="0"/>
              <w:right w:val="outset" w:color="auto" w:sz="6" w:space="0"/>
            </w:tcBorders>
          </w:tcPr>
          <w:p w14:paraId="1DBE02A5">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0,964</w:t>
            </w:r>
          </w:p>
        </w:tc>
        <w:tc>
          <w:tcPr>
            <w:tcW w:w="0" w:type="auto"/>
            <w:tcBorders>
              <w:top w:val="nil"/>
              <w:left w:val="outset" w:color="auto" w:sz="6" w:space="0"/>
              <w:bottom w:val="outset" w:color="auto" w:sz="6" w:space="0"/>
              <w:right w:val="outset" w:color="auto" w:sz="6" w:space="0"/>
            </w:tcBorders>
          </w:tcPr>
          <w:p w14:paraId="1D783582">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1,141</w:t>
            </w:r>
          </w:p>
        </w:tc>
        <w:tc>
          <w:tcPr>
            <w:tcW w:w="0" w:type="auto"/>
            <w:tcBorders>
              <w:top w:val="nil"/>
              <w:left w:val="outset" w:color="auto" w:sz="6" w:space="0"/>
              <w:bottom w:val="outset" w:color="auto" w:sz="6" w:space="0"/>
              <w:right w:val="outset" w:color="auto" w:sz="6" w:space="0"/>
            </w:tcBorders>
          </w:tcPr>
          <w:p w14:paraId="27A96D3B">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0,254</w:t>
            </w:r>
          </w:p>
        </w:tc>
        <w:tc>
          <w:tcPr>
            <w:tcW w:w="0" w:type="auto"/>
            <w:tcBorders>
              <w:top w:val="nil"/>
              <w:left w:val="outset" w:color="auto" w:sz="6" w:space="0"/>
              <w:bottom w:val="outset" w:color="auto" w:sz="6" w:space="0"/>
              <w:right w:val="outset" w:color="auto" w:sz="6" w:space="0"/>
            </w:tcBorders>
          </w:tcPr>
          <w:p w14:paraId="29D04255">
            <w:pPr>
              <w:widowControl w:val="0"/>
              <w:autoSpaceDE w:val="0"/>
              <w:autoSpaceDN w:val="0"/>
              <w:spacing w:after="0" w:line="276" w:lineRule="auto"/>
              <w:jc w:val="both"/>
              <w:outlineLvl w:val="0"/>
              <w:rPr>
                <w:rFonts w:ascii="Times New Roman" w:hAnsi="Times New Roman" w:eastAsia="Times New Roman" w:cs="Times New Roman"/>
                <w:b/>
                <w:sz w:val="28"/>
                <w:szCs w:val="28"/>
              </w:rPr>
            </w:pPr>
            <w:r>
              <w:rPr>
                <w:rFonts w:ascii="Times New Roman" w:hAnsi="Times New Roman" w:eastAsia="Times New Roman" w:cs="Times New Roman"/>
                <w:b/>
                <w:sz w:val="28"/>
                <w:szCs w:val="28"/>
              </w:rPr>
              <w:t>2,240</w:t>
            </w:r>
          </w:p>
        </w:tc>
        <w:tc>
          <w:tcPr>
            <w:tcW w:w="0" w:type="auto"/>
            <w:tcBorders>
              <w:top w:val="nil"/>
              <w:left w:val="outset" w:color="auto" w:sz="6" w:space="0"/>
              <w:bottom w:val="outset" w:color="auto" w:sz="6" w:space="0"/>
              <w:right w:val="outset" w:color="auto" w:sz="6" w:space="0"/>
            </w:tcBorders>
          </w:tcPr>
          <w:p w14:paraId="358D7ED0">
            <w:pPr>
              <w:widowControl w:val="0"/>
              <w:autoSpaceDE w:val="0"/>
              <w:autoSpaceDN w:val="0"/>
              <w:spacing w:after="0" w:line="276" w:lineRule="auto"/>
              <w:jc w:val="both"/>
              <w:outlineLvl w:val="0"/>
              <w:rPr>
                <w:rFonts w:ascii="Times New Roman" w:hAnsi="Times New Roman" w:eastAsia="Times New Roman" w:cs="Times New Roman"/>
                <w:b/>
                <w:sz w:val="28"/>
                <w:szCs w:val="28"/>
              </w:rPr>
            </w:pPr>
            <w:r>
              <w:rPr>
                <w:rFonts w:ascii="Times New Roman" w:hAnsi="Times New Roman" w:eastAsia="Times New Roman" w:cs="Times New Roman"/>
                <w:b/>
                <w:sz w:val="28"/>
                <w:szCs w:val="28"/>
              </w:rPr>
              <w:t>0,025</w:t>
            </w:r>
            <w:r>
              <w:rPr>
                <w:rFonts w:ascii="Times New Roman" w:hAnsi="Times New Roman" w:eastAsia="Times New Roman" w:cs="Times New Roman"/>
                <w:b/>
                <w:i/>
                <w:sz w:val="28"/>
                <w:szCs w:val="28"/>
              </w:rPr>
              <w:t>*</w:t>
            </w:r>
          </w:p>
        </w:tc>
      </w:tr>
      <w:tr w14:paraId="6DA3DCED">
        <w:tblPrEx>
          <w:tblCellMar>
            <w:top w:w="15" w:type="dxa"/>
            <w:left w:w="15" w:type="dxa"/>
            <w:bottom w:w="15" w:type="dxa"/>
            <w:right w:w="15" w:type="dxa"/>
          </w:tblCellMar>
        </w:tblPrEx>
        <w:tc>
          <w:tcPr>
            <w:tcW w:w="0" w:type="auto"/>
            <w:tcBorders>
              <w:top w:val="nil"/>
              <w:left w:val="outset" w:color="auto" w:sz="6" w:space="0"/>
              <w:bottom w:val="outset" w:color="auto" w:sz="6" w:space="0"/>
              <w:right w:val="outset" w:color="auto" w:sz="6" w:space="0"/>
            </w:tcBorders>
          </w:tcPr>
          <w:p w14:paraId="035E297A">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АСТ</w:t>
            </w:r>
          </w:p>
        </w:tc>
        <w:tc>
          <w:tcPr>
            <w:tcW w:w="0" w:type="auto"/>
            <w:tcBorders>
              <w:top w:val="nil"/>
              <w:left w:val="outset" w:color="auto" w:sz="6" w:space="0"/>
              <w:bottom w:val="outset" w:color="auto" w:sz="6" w:space="0"/>
              <w:right w:val="outset" w:color="auto" w:sz="6" w:space="0"/>
            </w:tcBorders>
          </w:tcPr>
          <w:p w14:paraId="4E69EEBB">
            <w:pPr>
              <w:widowControl w:val="0"/>
              <w:autoSpaceDE w:val="0"/>
              <w:autoSpaceDN w:val="0"/>
              <w:spacing w:after="0" w:line="276" w:lineRule="auto"/>
              <w:jc w:val="both"/>
              <w:outlineLvl w:val="0"/>
              <w:rPr>
                <w:rFonts w:ascii="Times New Roman" w:hAnsi="Times New Roman" w:eastAsia="Times New Roman" w:cs="Times New Roman"/>
                <w:b/>
                <w:sz w:val="28"/>
                <w:szCs w:val="28"/>
              </w:rPr>
            </w:pPr>
            <w:r>
              <w:rPr>
                <w:rFonts w:ascii="Times New Roman" w:hAnsi="Times New Roman" w:eastAsia="Times New Roman" w:cs="Times New Roman"/>
                <w:b/>
                <w:sz w:val="28"/>
                <w:szCs w:val="28"/>
              </w:rPr>
              <w:t>2,224</w:t>
            </w:r>
          </w:p>
        </w:tc>
        <w:tc>
          <w:tcPr>
            <w:tcW w:w="0" w:type="auto"/>
            <w:tcBorders>
              <w:top w:val="nil"/>
              <w:left w:val="outset" w:color="auto" w:sz="6" w:space="0"/>
              <w:bottom w:val="outset" w:color="auto" w:sz="6" w:space="0"/>
              <w:right w:val="outset" w:color="auto" w:sz="6" w:space="0"/>
            </w:tcBorders>
          </w:tcPr>
          <w:p w14:paraId="50F86BBA">
            <w:pPr>
              <w:widowControl w:val="0"/>
              <w:autoSpaceDE w:val="0"/>
              <w:autoSpaceDN w:val="0"/>
              <w:spacing w:after="0" w:line="276" w:lineRule="auto"/>
              <w:jc w:val="both"/>
              <w:outlineLvl w:val="0"/>
              <w:rPr>
                <w:rFonts w:ascii="Times New Roman" w:hAnsi="Times New Roman" w:eastAsia="Times New Roman" w:cs="Times New Roman"/>
                <w:b/>
                <w:sz w:val="28"/>
                <w:szCs w:val="28"/>
              </w:rPr>
            </w:pPr>
            <w:r>
              <w:rPr>
                <w:rFonts w:ascii="Times New Roman" w:hAnsi="Times New Roman" w:eastAsia="Times New Roman" w:cs="Times New Roman"/>
                <w:b/>
                <w:sz w:val="28"/>
                <w:szCs w:val="28"/>
              </w:rPr>
              <w:t>0,026</w:t>
            </w:r>
            <w:r>
              <w:rPr>
                <w:rFonts w:ascii="Times New Roman" w:hAnsi="Times New Roman" w:eastAsia="Times New Roman" w:cs="Times New Roman"/>
                <w:b/>
                <w:i/>
                <w:sz w:val="28"/>
                <w:szCs w:val="28"/>
              </w:rPr>
              <w:t>*</w:t>
            </w:r>
          </w:p>
        </w:tc>
        <w:tc>
          <w:tcPr>
            <w:tcW w:w="0" w:type="auto"/>
            <w:tcBorders>
              <w:top w:val="nil"/>
              <w:left w:val="outset" w:color="auto" w:sz="6" w:space="0"/>
              <w:bottom w:val="outset" w:color="auto" w:sz="6" w:space="0"/>
              <w:right w:val="outset" w:color="auto" w:sz="6" w:space="0"/>
            </w:tcBorders>
          </w:tcPr>
          <w:p w14:paraId="654998B5">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1,202</w:t>
            </w:r>
          </w:p>
        </w:tc>
        <w:tc>
          <w:tcPr>
            <w:tcW w:w="0" w:type="auto"/>
            <w:tcBorders>
              <w:top w:val="nil"/>
              <w:left w:val="outset" w:color="auto" w:sz="6" w:space="0"/>
              <w:bottom w:val="outset" w:color="auto" w:sz="6" w:space="0"/>
              <w:right w:val="outset" w:color="auto" w:sz="6" w:space="0"/>
            </w:tcBorders>
          </w:tcPr>
          <w:p w14:paraId="5374454C">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0,229</w:t>
            </w:r>
          </w:p>
        </w:tc>
        <w:tc>
          <w:tcPr>
            <w:tcW w:w="0" w:type="auto"/>
            <w:tcBorders>
              <w:top w:val="nil"/>
              <w:left w:val="outset" w:color="auto" w:sz="6" w:space="0"/>
              <w:bottom w:val="outset" w:color="auto" w:sz="6" w:space="0"/>
              <w:right w:val="outset" w:color="auto" w:sz="6" w:space="0"/>
            </w:tcBorders>
          </w:tcPr>
          <w:p w14:paraId="2E9363E1">
            <w:pPr>
              <w:widowControl w:val="0"/>
              <w:autoSpaceDE w:val="0"/>
              <w:autoSpaceDN w:val="0"/>
              <w:spacing w:after="0" w:line="276" w:lineRule="auto"/>
              <w:jc w:val="both"/>
              <w:outlineLvl w:val="0"/>
              <w:rPr>
                <w:rFonts w:ascii="Times New Roman" w:hAnsi="Times New Roman" w:eastAsia="Times New Roman" w:cs="Times New Roman"/>
                <w:b/>
                <w:sz w:val="28"/>
                <w:szCs w:val="28"/>
              </w:rPr>
            </w:pPr>
            <w:r>
              <w:rPr>
                <w:rFonts w:ascii="Times New Roman" w:hAnsi="Times New Roman" w:eastAsia="Times New Roman" w:cs="Times New Roman"/>
                <w:b/>
                <w:sz w:val="28"/>
                <w:szCs w:val="28"/>
              </w:rPr>
              <w:t>3,552</w:t>
            </w:r>
          </w:p>
        </w:tc>
        <w:tc>
          <w:tcPr>
            <w:tcW w:w="0" w:type="auto"/>
            <w:tcBorders>
              <w:top w:val="nil"/>
              <w:left w:val="outset" w:color="auto" w:sz="6" w:space="0"/>
              <w:bottom w:val="outset" w:color="auto" w:sz="6" w:space="0"/>
              <w:right w:val="outset" w:color="auto" w:sz="6" w:space="0"/>
            </w:tcBorders>
          </w:tcPr>
          <w:p w14:paraId="676B7E76">
            <w:pPr>
              <w:widowControl w:val="0"/>
              <w:autoSpaceDE w:val="0"/>
              <w:autoSpaceDN w:val="0"/>
              <w:spacing w:after="0" w:line="276" w:lineRule="auto"/>
              <w:jc w:val="both"/>
              <w:outlineLvl w:val="0"/>
              <w:rPr>
                <w:rFonts w:ascii="Times New Roman" w:hAnsi="Times New Roman" w:eastAsia="Times New Roman" w:cs="Times New Roman"/>
                <w:b/>
                <w:sz w:val="28"/>
                <w:szCs w:val="28"/>
              </w:rPr>
            </w:pPr>
            <w:r>
              <w:rPr>
                <w:rFonts w:ascii="Times New Roman" w:hAnsi="Times New Roman" w:eastAsia="Times New Roman" w:cs="Times New Roman"/>
                <w:b/>
                <w:sz w:val="28"/>
                <w:szCs w:val="28"/>
              </w:rPr>
              <w:t>0,000</w:t>
            </w:r>
            <w:r>
              <w:rPr>
                <w:rFonts w:ascii="Times New Roman" w:hAnsi="Times New Roman" w:eastAsia="Times New Roman" w:cs="Times New Roman"/>
                <w:b/>
                <w:i/>
                <w:sz w:val="28"/>
                <w:szCs w:val="28"/>
              </w:rPr>
              <w:t>*</w:t>
            </w:r>
          </w:p>
        </w:tc>
        <w:tc>
          <w:tcPr>
            <w:tcW w:w="0" w:type="auto"/>
            <w:tcBorders>
              <w:top w:val="nil"/>
              <w:left w:val="outset" w:color="auto" w:sz="6" w:space="0"/>
              <w:bottom w:val="outset" w:color="auto" w:sz="6" w:space="0"/>
              <w:right w:val="outset" w:color="auto" w:sz="6" w:space="0"/>
            </w:tcBorders>
          </w:tcPr>
          <w:p w14:paraId="21DF58E6">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–1,323</w:t>
            </w:r>
          </w:p>
        </w:tc>
        <w:tc>
          <w:tcPr>
            <w:tcW w:w="0" w:type="auto"/>
            <w:tcBorders>
              <w:top w:val="nil"/>
              <w:left w:val="outset" w:color="auto" w:sz="6" w:space="0"/>
              <w:bottom w:val="outset" w:color="auto" w:sz="6" w:space="0"/>
              <w:right w:val="outset" w:color="auto" w:sz="6" w:space="0"/>
            </w:tcBorders>
          </w:tcPr>
          <w:p w14:paraId="106235D7">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0,186</w:t>
            </w:r>
          </w:p>
        </w:tc>
        <w:tc>
          <w:tcPr>
            <w:tcW w:w="0" w:type="auto"/>
            <w:tcBorders>
              <w:top w:val="nil"/>
              <w:left w:val="outset" w:color="auto" w:sz="6" w:space="0"/>
              <w:bottom w:val="outset" w:color="auto" w:sz="6" w:space="0"/>
              <w:right w:val="outset" w:color="auto" w:sz="6" w:space="0"/>
            </w:tcBorders>
          </w:tcPr>
          <w:p w14:paraId="22B83B1F">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1,228</w:t>
            </w:r>
          </w:p>
        </w:tc>
        <w:tc>
          <w:tcPr>
            <w:tcW w:w="0" w:type="auto"/>
            <w:tcBorders>
              <w:top w:val="nil"/>
              <w:left w:val="outset" w:color="auto" w:sz="6" w:space="0"/>
              <w:bottom w:val="outset" w:color="auto" w:sz="6" w:space="0"/>
              <w:right w:val="outset" w:color="auto" w:sz="6" w:space="0"/>
            </w:tcBorders>
          </w:tcPr>
          <w:p w14:paraId="10C0C8B7">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0,219</w:t>
            </w:r>
          </w:p>
        </w:tc>
        <w:tc>
          <w:tcPr>
            <w:tcW w:w="0" w:type="auto"/>
            <w:tcBorders>
              <w:top w:val="nil"/>
              <w:left w:val="outset" w:color="auto" w:sz="6" w:space="0"/>
              <w:bottom w:val="outset" w:color="auto" w:sz="6" w:space="0"/>
              <w:right w:val="outset" w:color="auto" w:sz="6" w:space="0"/>
            </w:tcBorders>
          </w:tcPr>
          <w:p w14:paraId="4EE0CDA6">
            <w:pPr>
              <w:widowControl w:val="0"/>
              <w:autoSpaceDE w:val="0"/>
              <w:autoSpaceDN w:val="0"/>
              <w:spacing w:after="0" w:line="276" w:lineRule="auto"/>
              <w:jc w:val="both"/>
              <w:outlineLvl w:val="0"/>
              <w:rPr>
                <w:rFonts w:ascii="Times New Roman" w:hAnsi="Times New Roman" w:eastAsia="Times New Roman" w:cs="Times New Roman"/>
                <w:b/>
                <w:sz w:val="28"/>
                <w:szCs w:val="28"/>
              </w:rPr>
            </w:pPr>
            <w:r>
              <w:rPr>
                <w:rFonts w:ascii="Times New Roman" w:hAnsi="Times New Roman" w:eastAsia="Times New Roman" w:cs="Times New Roman"/>
                <w:b/>
                <w:sz w:val="28"/>
                <w:szCs w:val="28"/>
              </w:rPr>
              <w:t>2,764</w:t>
            </w:r>
          </w:p>
        </w:tc>
        <w:tc>
          <w:tcPr>
            <w:tcW w:w="0" w:type="auto"/>
            <w:tcBorders>
              <w:top w:val="nil"/>
              <w:left w:val="outset" w:color="auto" w:sz="6" w:space="0"/>
              <w:bottom w:val="outset" w:color="auto" w:sz="6" w:space="0"/>
              <w:right w:val="outset" w:color="auto" w:sz="6" w:space="0"/>
            </w:tcBorders>
          </w:tcPr>
          <w:p w14:paraId="213E49D9">
            <w:pPr>
              <w:widowControl w:val="0"/>
              <w:autoSpaceDE w:val="0"/>
              <w:autoSpaceDN w:val="0"/>
              <w:spacing w:after="0" w:line="276" w:lineRule="auto"/>
              <w:jc w:val="both"/>
              <w:outlineLvl w:val="0"/>
              <w:rPr>
                <w:rFonts w:ascii="Times New Roman" w:hAnsi="Times New Roman" w:eastAsia="Times New Roman" w:cs="Times New Roman"/>
                <w:b/>
                <w:sz w:val="28"/>
                <w:szCs w:val="28"/>
              </w:rPr>
            </w:pPr>
            <w:r>
              <w:rPr>
                <w:rFonts w:ascii="Times New Roman" w:hAnsi="Times New Roman" w:eastAsia="Times New Roman" w:cs="Times New Roman"/>
                <w:b/>
                <w:sz w:val="28"/>
                <w:szCs w:val="28"/>
              </w:rPr>
              <w:t>0,006</w:t>
            </w:r>
            <w:r>
              <w:rPr>
                <w:rFonts w:ascii="Times New Roman" w:hAnsi="Times New Roman" w:eastAsia="Times New Roman" w:cs="Times New Roman"/>
                <w:b/>
                <w:i/>
                <w:sz w:val="28"/>
                <w:szCs w:val="28"/>
              </w:rPr>
              <w:t>*</w:t>
            </w:r>
          </w:p>
        </w:tc>
      </w:tr>
      <w:tr w14:paraId="122EDBB7">
        <w:tblPrEx>
          <w:tblCellMar>
            <w:top w:w="15" w:type="dxa"/>
            <w:left w:w="15" w:type="dxa"/>
            <w:bottom w:w="15" w:type="dxa"/>
            <w:right w:w="15" w:type="dxa"/>
          </w:tblCellMar>
        </w:tblPrEx>
        <w:tc>
          <w:tcPr>
            <w:tcW w:w="0" w:type="auto"/>
            <w:gridSpan w:val="13"/>
            <w:tcBorders>
              <w:top w:val="nil"/>
              <w:left w:val="outset" w:color="auto" w:sz="6" w:space="0"/>
              <w:bottom w:val="outset" w:color="auto" w:sz="6" w:space="0"/>
              <w:right w:val="outset" w:color="auto" w:sz="6" w:space="0"/>
            </w:tcBorders>
          </w:tcPr>
          <w:p w14:paraId="425F5ACC">
            <w:pPr>
              <w:widowControl w:val="0"/>
              <w:autoSpaceDE w:val="0"/>
              <w:autoSpaceDN w:val="0"/>
              <w:spacing w:after="0" w:line="276" w:lineRule="auto"/>
              <w:jc w:val="both"/>
              <w:outlineLvl w:val="0"/>
              <w:rPr>
                <w:rFonts w:ascii="Times New Roman" w:hAnsi="Times New Roman" w:eastAsia="Times New Roman" w:cs="Times New Roman"/>
                <w:i/>
                <w:sz w:val="28"/>
                <w:szCs w:val="28"/>
              </w:rPr>
            </w:pPr>
            <w:r>
              <w:rPr>
                <w:rFonts w:ascii="Times New Roman" w:hAnsi="Times New Roman" w:eastAsia="Times New Roman" w:cs="Times New Roman"/>
                <w:sz w:val="28"/>
                <w:szCs w:val="28"/>
              </w:rPr>
              <w:t>*–</w:t>
            </w:r>
            <w:r>
              <w:rPr>
                <w:rFonts w:ascii="Times New Roman" w:hAnsi="Times New Roman" w:eastAsia="Times New Roman" w:cs="Times New Roman"/>
                <w:sz w:val="28"/>
                <w:szCs w:val="28"/>
              </w:rPr>
              <w:tab/>
            </w:r>
            <w:r>
              <w:rPr>
                <w:rFonts w:ascii="Times New Roman" w:hAnsi="Times New Roman" w:eastAsia="Times New Roman" w:cs="Times New Roman"/>
                <w:i/>
                <w:iCs/>
                <w:sz w:val="28"/>
                <w:szCs w:val="28"/>
              </w:rPr>
              <w:t xml:space="preserve">Мана–Уитни </w:t>
            </w:r>
            <w:r>
              <w:rPr>
                <w:rFonts w:ascii="Times New Roman" w:hAnsi="Times New Roman" w:eastAsia="Times New Roman" w:cs="Times New Roman"/>
                <w:i/>
                <w:sz w:val="28"/>
                <w:szCs w:val="28"/>
              </w:rPr>
              <w:tab/>
            </w:r>
            <w:r>
              <w:rPr>
                <w:rFonts w:ascii="Times New Roman" w:hAnsi="Times New Roman" w:eastAsia="Times New Roman" w:cs="Times New Roman"/>
                <w:i/>
                <w:sz w:val="28"/>
                <w:szCs w:val="28"/>
              </w:rPr>
              <w:t>параметрлік</w:t>
            </w:r>
            <w:r>
              <w:rPr>
                <w:rFonts w:ascii="Times New Roman" w:hAnsi="Times New Roman" w:eastAsia="Times New Roman" w:cs="Times New Roman"/>
                <w:i/>
                <w:sz w:val="28"/>
                <w:szCs w:val="28"/>
              </w:rPr>
              <w:tab/>
            </w:r>
            <w:r>
              <w:rPr>
                <w:rFonts w:ascii="Times New Roman" w:hAnsi="Times New Roman" w:eastAsia="Times New Roman" w:cs="Times New Roman"/>
                <w:i/>
                <w:sz w:val="28"/>
                <w:szCs w:val="28"/>
              </w:rPr>
              <w:t>емес</w:t>
            </w:r>
            <w:r>
              <w:rPr>
                <w:rFonts w:ascii="Times New Roman" w:hAnsi="Times New Roman" w:eastAsia="Times New Roman" w:cs="Times New Roman"/>
                <w:i/>
                <w:sz w:val="28"/>
                <w:szCs w:val="28"/>
              </w:rPr>
              <w:tab/>
            </w:r>
            <w:r>
              <w:rPr>
                <w:rFonts w:ascii="Times New Roman" w:hAnsi="Times New Roman" w:eastAsia="Times New Roman" w:cs="Times New Roman"/>
                <w:i/>
                <w:sz w:val="28"/>
                <w:szCs w:val="28"/>
              </w:rPr>
              <w:t>Z критерий</w:t>
            </w:r>
            <w:r>
              <w:rPr>
                <w:rFonts w:ascii="Times New Roman" w:hAnsi="Times New Roman" w:eastAsia="Times New Roman" w:cs="Times New Roman"/>
                <w:i/>
                <w:sz w:val="28"/>
                <w:szCs w:val="28"/>
              </w:rPr>
              <w:tab/>
            </w:r>
            <w:r>
              <w:rPr>
                <w:rFonts w:ascii="Times New Roman" w:hAnsi="Times New Roman" w:eastAsia="Times New Roman" w:cs="Times New Roman"/>
                <w:i/>
                <w:sz w:val="28"/>
                <w:szCs w:val="28"/>
              </w:rPr>
              <w:t>бойынша</w:t>
            </w:r>
          </w:p>
          <w:p w14:paraId="5F2B10C2">
            <w:pPr>
              <w:widowControl w:val="0"/>
              <w:autoSpaceDE w:val="0"/>
              <w:autoSpaceDN w:val="0"/>
              <w:spacing w:after="0" w:line="276" w:lineRule="auto"/>
              <w:jc w:val="both"/>
              <w:outlineLvl w:val="0"/>
              <w:rPr>
                <w:rFonts w:ascii="Times New Roman" w:hAnsi="Times New Roman" w:eastAsia="Times New Roman" w:cs="Times New Roman"/>
                <w:b/>
                <w:sz w:val="28"/>
                <w:szCs w:val="28"/>
              </w:rPr>
            </w:pPr>
            <w:r>
              <w:rPr>
                <w:rFonts w:ascii="Times New Roman" w:hAnsi="Times New Roman" w:eastAsia="Times New Roman" w:cs="Times New Roman"/>
                <w:i/>
                <w:sz w:val="28"/>
                <w:szCs w:val="28"/>
              </w:rPr>
              <w:t>айырмашылығы, көрсеткіштердің өзгеру растығы кезінде p &lt; 0.05</w:t>
            </w:r>
          </w:p>
        </w:tc>
      </w:tr>
    </w:tbl>
    <w:p w14:paraId="2AAFAAE9">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bookmarkStart w:id="6" w:name="_Hlk158351923"/>
      <w:bookmarkEnd w:id="6"/>
      <w:r>
        <w:rPr>
          <w:rFonts w:ascii="Times New Roman" w:hAnsi="Times New Roman" w:eastAsia="Times New Roman" w:cs="Times New Roman"/>
          <w:sz w:val="28"/>
          <w:szCs w:val="28"/>
          <w:lang w:eastAsia="ru-RU"/>
        </w:rPr>
        <w:t xml:space="preserve"> </w:t>
      </w:r>
    </w:p>
    <w:p w14:paraId="303C85A9">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Бұл тәсіл топтар арасындағы нақты айырмашылықтарды анықтап, әртүрлі факторлардың ықпалын терең түсінуге мүмкіндік берді. Семіздігі бар жүкті әйелдерден тұратын топтарда (3 және 4 топтар) ЭТЖ көрсеткіші дені сау жүкті әйелдерге (1 топ) және анемиясы бар, бірақ семіздігі жоқ әйелдерге (2 топ) қарағанда айтарлықтай жоғарылағаны анықталды (p&lt;0.05). Бұл қабыну процестерінің белсенділігін көрсетеді (cурет - 6). </w:t>
      </w:r>
    </w:p>
    <w:p w14:paraId="1CE07625">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 </w:t>
      </w:r>
    </w:p>
    <w:p w14:paraId="6A21236F">
      <w:pPr>
        <w:widowControl w:val="0"/>
        <w:autoSpaceDE w:val="0"/>
        <w:autoSpaceDN w:val="0"/>
        <w:spacing w:after="0" w:line="276" w:lineRule="auto"/>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drawing>
          <wp:inline distT="0" distB="0" distL="0" distR="0">
            <wp:extent cx="4095750" cy="2621915"/>
            <wp:effectExtent l="0" t="0" r="0" b="6985"/>
            <wp:docPr id="98" name="Рисунок 98" descr="C:\Users\kgmuuser\AppData\Local\Temp\ksohtml7396\wps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Рисунок 98" descr="C:\Users\kgmuuser\AppData\Local\Temp\ksohtml7396\wps14.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a:xfrm>
                      <a:off x="0" y="0"/>
                      <a:ext cx="4095750" cy="2621915"/>
                    </a:xfrm>
                    <a:prstGeom prst="rect">
                      <a:avLst/>
                    </a:prstGeom>
                    <a:noFill/>
                    <a:ln>
                      <a:noFill/>
                    </a:ln>
                  </pic:spPr>
                </pic:pic>
              </a:graphicData>
            </a:graphic>
          </wp:inline>
        </w:drawing>
      </w:r>
      <w:r>
        <w:rPr>
          <w:rFonts w:ascii="Times New Roman" w:hAnsi="Times New Roman" w:eastAsia="Times New Roman" w:cs="Times New Roman"/>
          <w:sz w:val="28"/>
          <w:szCs w:val="28"/>
          <w:lang w:eastAsia="ru-RU"/>
        </w:rPr>
        <w:t xml:space="preserve"> </w:t>
      </w:r>
    </w:p>
    <w:p w14:paraId="145949CB">
      <w:pPr>
        <w:widowControl w:val="0"/>
        <w:autoSpaceDE w:val="0"/>
        <w:autoSpaceDN w:val="0"/>
        <w:spacing w:after="0" w:line="276" w:lineRule="auto"/>
        <w:ind w:firstLine="709"/>
        <w:jc w:val="both"/>
        <w:outlineLvl w:val="0"/>
        <w:rPr>
          <w:rFonts w:ascii="Times New Roman" w:hAnsi="Times New Roman" w:eastAsia="Times New Roman" w:cs="Times New Roman"/>
          <w:iCs/>
          <w:sz w:val="28"/>
          <w:szCs w:val="28"/>
          <w:lang w:eastAsia="ru-RU"/>
        </w:rPr>
      </w:pPr>
    </w:p>
    <w:p w14:paraId="4070BCE0">
      <w:pPr>
        <w:widowControl w:val="0"/>
        <w:autoSpaceDE w:val="0"/>
        <w:autoSpaceDN w:val="0"/>
        <w:spacing w:after="0" w:line="276" w:lineRule="auto"/>
        <w:ind w:firstLine="709"/>
        <w:jc w:val="both"/>
        <w:outlineLvl w:val="0"/>
        <w:rPr>
          <w:rFonts w:ascii="Times New Roman" w:hAnsi="Times New Roman" w:eastAsia="Times New Roman" w:cs="Times New Roman"/>
          <w:iCs/>
          <w:sz w:val="28"/>
          <w:szCs w:val="28"/>
          <w:lang w:eastAsia="ru-RU"/>
        </w:rPr>
      </w:pPr>
      <w:r>
        <w:rPr>
          <w:rFonts w:ascii="Times New Roman" w:hAnsi="Times New Roman" w:eastAsia="Times New Roman" w:cs="Times New Roman"/>
          <w:iCs/>
          <w:sz w:val="28"/>
          <w:szCs w:val="28"/>
          <w:lang w:eastAsia="ru-RU"/>
        </w:rPr>
        <w:t xml:space="preserve">Сурет – 6. Зерттеу топтары арасындағы эритроциттердің тұну жылдамдығы көрсеткіші бойынша деңгейі. </w:t>
      </w:r>
    </w:p>
    <w:p w14:paraId="400AA5D5">
      <w:pPr>
        <w:widowControl w:val="0"/>
        <w:autoSpaceDE w:val="0"/>
        <w:autoSpaceDN w:val="0"/>
        <w:spacing w:after="0" w:line="276" w:lineRule="auto"/>
        <w:ind w:firstLine="709"/>
        <w:jc w:val="both"/>
        <w:outlineLvl w:val="0"/>
        <w:rPr>
          <w:rFonts w:ascii="Times New Roman" w:hAnsi="Times New Roman" w:eastAsia="Times New Roman" w:cs="Times New Roman"/>
          <w:iCs/>
          <w:sz w:val="28"/>
          <w:szCs w:val="28"/>
          <w:lang w:eastAsia="ru-RU"/>
        </w:rPr>
      </w:pPr>
    </w:p>
    <w:p w14:paraId="7388A8A7">
      <w:pPr>
        <w:widowControl w:val="0"/>
        <w:autoSpaceDE w:val="0"/>
        <w:autoSpaceDN w:val="0"/>
        <w:spacing w:after="0" w:line="276" w:lineRule="auto"/>
        <w:ind w:firstLine="709"/>
        <w:jc w:val="both"/>
        <w:outlineLvl w:val="0"/>
        <w:rPr>
          <w:rFonts w:ascii="Times New Roman" w:hAnsi="Times New Roman" w:eastAsia="Times New Roman" w:cs="Times New Roman"/>
          <w:iCs/>
          <w:sz w:val="28"/>
          <w:szCs w:val="28"/>
          <w:lang w:val="kk-KZ" w:eastAsia="ru-RU"/>
        </w:rPr>
      </w:pPr>
      <w:r>
        <w:rPr>
          <w:rFonts w:ascii="Times New Roman" w:hAnsi="Times New Roman" w:eastAsia="Times New Roman" w:cs="Times New Roman"/>
          <w:iCs/>
          <w:sz w:val="28"/>
          <w:szCs w:val="28"/>
          <w:lang w:eastAsia="ru-RU"/>
        </w:rPr>
        <w:t xml:space="preserve"> </w:t>
      </w:r>
      <w:r>
        <w:rPr>
          <w:rFonts w:ascii="Times New Roman" w:hAnsi="Times New Roman" w:eastAsia="Calibri" w:cs="Times New Roman"/>
          <w:sz w:val="28"/>
          <w:szCs w:val="28"/>
          <w:lang w:val="ru" w:eastAsia="zh-CN" w:bidi="ar"/>
        </w:rPr>
        <w:t>Жүргізілген зерттеуде лимфоциттердің пайыздық деңгейлерінің өзгерісі төрт зерттеу тобы арасында бағаланды</w:t>
      </w:r>
      <w:r>
        <w:rPr>
          <w:rFonts w:ascii="Times New Roman" w:hAnsi="Times New Roman" w:eastAsia="Calibri" w:cs="Times New Roman"/>
          <w:sz w:val="28"/>
          <w:szCs w:val="28"/>
          <w:lang w:val="kk-KZ" w:eastAsia="zh-CN" w:bidi="ar"/>
        </w:rPr>
        <w:t xml:space="preserve">. Қораптық диаграмма көмегімен алынған мәліметтерді визуально 7 - суреттен көруге болады. </w:t>
      </w:r>
      <w:r>
        <w:rPr>
          <w:rFonts w:ascii="Times New Roman" w:hAnsi="Times New Roman" w:eastAsia="Times New Roman"/>
          <w:iCs/>
          <w:sz w:val="28"/>
          <w:szCs w:val="28"/>
          <w:lang w:val="kk-KZ" w:eastAsia="ru-RU"/>
        </w:rPr>
        <w:t xml:space="preserve">2-топ пен 4-топтағы лимфоцит деңгейлері 1-топқа қарағанда айтарлықтай төмен (р &lt; 0,01). </w:t>
      </w:r>
      <w:r>
        <w:rPr>
          <w:rFonts w:ascii="Times New Roman" w:hAnsi="Times New Roman" w:eastAsia="Times New Roman" w:cs="Times New Roman"/>
          <w:iCs/>
          <w:sz w:val="28"/>
          <w:szCs w:val="28"/>
          <w:lang w:val="kk-KZ" w:eastAsia="ru-RU"/>
        </w:rPr>
        <w:t>Семіздігі бар жүкті әйелдер топтарында лимфоциттер деңгейінің төмендеуі байқалды (p&lt;0.05).</w:t>
      </w:r>
    </w:p>
    <w:p w14:paraId="5CBB0B6C">
      <w:pPr>
        <w:widowControl w:val="0"/>
        <w:autoSpaceDE w:val="0"/>
        <w:autoSpaceDN w:val="0"/>
        <w:spacing w:after="0" w:line="276" w:lineRule="auto"/>
        <w:ind w:firstLine="709"/>
        <w:jc w:val="both"/>
        <w:outlineLvl w:val="0"/>
        <w:rPr>
          <w:rFonts w:ascii="Times New Roman" w:hAnsi="Times New Roman" w:eastAsia="Times New Roman" w:cs="Times New Roman"/>
          <w:iCs/>
          <w:sz w:val="28"/>
          <w:szCs w:val="28"/>
          <w:lang w:val="kk-KZ" w:eastAsia="ru-RU"/>
        </w:rPr>
      </w:pPr>
    </w:p>
    <w:p w14:paraId="0EB218B6">
      <w:pPr>
        <w:widowControl w:val="0"/>
        <w:autoSpaceDE w:val="0"/>
        <w:autoSpaceDN w:val="0"/>
        <w:spacing w:after="0" w:line="276" w:lineRule="auto"/>
        <w:ind w:firstLine="709"/>
        <w:jc w:val="both"/>
        <w:outlineLvl w:val="0"/>
        <w:rPr>
          <w:rFonts w:ascii="Times New Roman" w:hAnsi="Times New Roman" w:eastAsia="Times New Roman" w:cs="Times New Roman"/>
          <w:i/>
          <w:sz w:val="28"/>
          <w:szCs w:val="28"/>
          <w:lang w:eastAsia="ru-RU"/>
        </w:rPr>
      </w:pPr>
      <w:r>
        <w:rPr>
          <w:rFonts w:ascii="Times New Roman" w:hAnsi="Times New Roman" w:eastAsia="Times New Roman" w:cs="Times New Roman"/>
          <w:iCs/>
          <w:sz w:val="28"/>
          <w:szCs w:val="28"/>
          <w:lang w:val="kk-KZ" w:eastAsia="ru-RU"/>
        </w:rPr>
        <w:t xml:space="preserve"> </w:t>
      </w:r>
      <w:r>
        <w:rPr>
          <w:rFonts w:ascii="Times New Roman" w:hAnsi="Times New Roman" w:eastAsia="Times New Roman" w:cs="Times New Roman"/>
          <w:sz w:val="28"/>
          <w:szCs w:val="28"/>
          <w:lang w:eastAsia="ru-RU"/>
        </w:rPr>
        <w:drawing>
          <wp:inline distT="0" distB="0" distL="0" distR="0">
            <wp:extent cx="4144645" cy="2535555"/>
            <wp:effectExtent l="0" t="0" r="8255" b="17145"/>
            <wp:docPr id="99" name="Рисунок 99" descr="C:\Users\kgmuuser\AppData\Local\Temp\ksohtml7396\wps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Рисунок 99" descr="C:\Users\kgmuuser\AppData\Local\Temp\ksohtml7396\wps15.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0" y="0"/>
                      <a:ext cx="4144645" cy="2535555"/>
                    </a:xfrm>
                    <a:prstGeom prst="rect">
                      <a:avLst/>
                    </a:prstGeom>
                    <a:noFill/>
                    <a:ln>
                      <a:noFill/>
                    </a:ln>
                  </pic:spPr>
                </pic:pic>
              </a:graphicData>
            </a:graphic>
          </wp:inline>
        </w:drawing>
      </w:r>
    </w:p>
    <w:p w14:paraId="616AB5DD">
      <w:pPr>
        <w:widowControl w:val="0"/>
        <w:autoSpaceDE w:val="0"/>
        <w:autoSpaceDN w:val="0"/>
        <w:spacing w:after="0" w:line="276" w:lineRule="auto"/>
        <w:ind w:firstLine="709"/>
        <w:jc w:val="both"/>
        <w:outlineLvl w:val="0"/>
        <w:rPr>
          <w:rFonts w:ascii="Times New Roman" w:hAnsi="Times New Roman" w:eastAsia="Times New Roman" w:cs="Times New Roman"/>
          <w:iCs/>
          <w:sz w:val="28"/>
          <w:szCs w:val="28"/>
          <w:lang w:eastAsia="ru-RU"/>
        </w:rPr>
      </w:pPr>
    </w:p>
    <w:p w14:paraId="55CFBE85">
      <w:pPr>
        <w:widowControl w:val="0"/>
        <w:autoSpaceDE w:val="0"/>
        <w:autoSpaceDN w:val="0"/>
        <w:spacing w:after="0" w:line="276" w:lineRule="auto"/>
        <w:ind w:firstLine="709"/>
        <w:jc w:val="both"/>
        <w:outlineLvl w:val="0"/>
        <w:rPr>
          <w:rFonts w:ascii="Times New Roman" w:hAnsi="Times New Roman" w:eastAsia="Times New Roman" w:cs="Times New Roman"/>
          <w:iCs/>
          <w:sz w:val="28"/>
          <w:szCs w:val="28"/>
          <w:lang w:eastAsia="ru-RU"/>
        </w:rPr>
      </w:pPr>
      <w:r>
        <w:rPr>
          <w:rFonts w:ascii="Times New Roman" w:hAnsi="Times New Roman" w:eastAsia="Times New Roman" w:cs="Times New Roman"/>
          <w:iCs/>
          <w:sz w:val="28"/>
          <w:szCs w:val="28"/>
          <w:lang w:eastAsia="ru-RU"/>
        </w:rPr>
        <w:t xml:space="preserve">Сурет – 7. Зерттеу топтары арасындағы лимфоциттер көрсеткіші бойынша деңгейі. </w:t>
      </w:r>
    </w:p>
    <w:p w14:paraId="1DCCC8FD">
      <w:pPr>
        <w:widowControl w:val="0"/>
        <w:autoSpaceDE w:val="0"/>
        <w:autoSpaceDN w:val="0"/>
        <w:spacing w:after="0" w:line="276" w:lineRule="auto"/>
        <w:ind w:firstLine="709"/>
        <w:jc w:val="both"/>
        <w:outlineLvl w:val="0"/>
        <w:rPr>
          <w:rFonts w:ascii="Times New Roman" w:hAnsi="Times New Roman" w:eastAsia="Times New Roman" w:cs="Times New Roman"/>
          <w:iCs/>
          <w:sz w:val="28"/>
          <w:szCs w:val="28"/>
          <w:lang w:eastAsia="ru-RU"/>
        </w:rPr>
      </w:pPr>
      <w:r>
        <w:rPr>
          <w:rFonts w:ascii="Times New Roman" w:hAnsi="Times New Roman" w:eastAsia="Times New Roman" w:cs="Times New Roman"/>
          <w:iCs/>
          <w:sz w:val="28"/>
          <w:szCs w:val="28"/>
          <w:lang w:eastAsia="ru-RU"/>
        </w:rPr>
        <w:t xml:space="preserve"> </w:t>
      </w:r>
    </w:p>
    <w:p w14:paraId="54474F20">
      <w:pPr>
        <w:widowControl w:val="0"/>
        <w:autoSpaceDE w:val="0"/>
        <w:autoSpaceDN w:val="0"/>
        <w:spacing w:after="0" w:line="276" w:lineRule="auto"/>
        <w:ind w:firstLine="709"/>
        <w:jc w:val="both"/>
        <w:outlineLvl w:val="0"/>
        <w:rPr>
          <w:rFonts w:ascii="Times New Roman" w:hAnsi="Times New Roman" w:eastAsia="Times New Roman" w:cs="Times New Roman"/>
          <w:iCs/>
          <w:sz w:val="28"/>
          <w:szCs w:val="28"/>
          <w:lang w:eastAsia="ru-RU"/>
        </w:rPr>
      </w:pPr>
      <w:r>
        <w:rPr>
          <w:rFonts w:ascii="Times New Roman" w:hAnsi="Times New Roman" w:eastAsia="Times New Roman" w:cs="Times New Roman"/>
          <w:iCs/>
          <w:sz w:val="28"/>
          <w:szCs w:val="28"/>
          <w:lang w:eastAsia="ru-RU"/>
        </w:rPr>
        <w:t xml:space="preserve">Бұл семіздік кезінде иммундық жүйенің реттелу ерекшеліктерін көрсетуі мүмкін. Таяқша ядролы нейтрофилдер көрсеткіші семіздігі бар топтарда жоғары болды (p&lt;0.05, cурет - 8).  </w:t>
      </w:r>
    </w:p>
    <w:p w14:paraId="4EB367D3">
      <w:pPr>
        <w:widowControl w:val="0"/>
        <w:autoSpaceDE w:val="0"/>
        <w:autoSpaceDN w:val="0"/>
        <w:spacing w:after="0" w:line="276" w:lineRule="auto"/>
        <w:ind w:firstLine="709"/>
        <w:jc w:val="both"/>
        <w:outlineLvl w:val="0"/>
        <w:rPr>
          <w:rFonts w:ascii="Times New Roman" w:hAnsi="Times New Roman" w:eastAsia="Times New Roman" w:cs="Times New Roman"/>
          <w:iCs/>
          <w:sz w:val="28"/>
          <w:szCs w:val="28"/>
          <w:lang w:val="kk-KZ" w:eastAsia="ru-RU"/>
        </w:rPr>
      </w:pPr>
      <w:r>
        <w:rPr>
          <w:rFonts w:ascii="Times New Roman" w:hAnsi="Times New Roman" w:eastAsia="Times New Roman" w:cs="Times New Roman"/>
          <w:iCs/>
          <w:sz w:val="28"/>
          <w:szCs w:val="28"/>
          <w:lang w:eastAsia="ru-RU"/>
        </w:rPr>
        <w:t xml:space="preserve"> </w:t>
      </w:r>
    </w:p>
    <w:p w14:paraId="53A2E464">
      <w:pPr>
        <w:autoSpaceDE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drawing>
          <wp:inline distT="0" distB="0" distL="0" distR="0">
            <wp:extent cx="304800" cy="304800"/>
            <wp:effectExtent l="0" t="0" r="0" b="0"/>
            <wp:docPr id="100" name="Рисунок 100" descr="C:\Users\kgmuuser\AppData\Local\Temp\ksohtml7396\wps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Рисунок 100" descr="C:\Users\kgmuuser\AppData\Local\Temp\ksohtml7396\wps16.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a:xfrm>
                      <a:off x="0" y="0"/>
                      <a:ext cx="304800" cy="304800"/>
                    </a:xfrm>
                    <a:prstGeom prst="rect">
                      <a:avLst/>
                    </a:prstGeom>
                    <a:noFill/>
                    <a:ln>
                      <a:noFill/>
                    </a:ln>
                  </pic:spPr>
                </pic:pic>
              </a:graphicData>
            </a:graphic>
          </wp:inline>
        </w:drawing>
      </w:r>
      <w:r>
        <w:rPr>
          <w:rFonts w:ascii="Times New Roman" w:hAnsi="Times New Roman" w:eastAsia="Times New Roman" w:cs="Times New Roman"/>
          <w:sz w:val="28"/>
          <w:szCs w:val="28"/>
          <w:lang w:eastAsia="ru-RU"/>
        </w:rPr>
        <w:drawing>
          <wp:inline distT="0" distB="0" distL="0" distR="0">
            <wp:extent cx="4120515" cy="2422525"/>
            <wp:effectExtent l="0" t="0" r="13335" b="15875"/>
            <wp:docPr id="101" name="Рисунок 101" descr="C:\Users\kgmuuser\AppData\Local\Temp\ksohtml7396\wps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Рисунок 101" descr="C:\Users\kgmuuser\AppData\Local\Temp\ksohtml7396\wps17.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a:xfrm>
                      <a:off x="0" y="0"/>
                      <a:ext cx="4120515" cy="2422525"/>
                    </a:xfrm>
                    <a:prstGeom prst="rect">
                      <a:avLst/>
                    </a:prstGeom>
                    <a:noFill/>
                    <a:ln>
                      <a:noFill/>
                    </a:ln>
                  </pic:spPr>
                </pic:pic>
              </a:graphicData>
            </a:graphic>
          </wp:inline>
        </w:drawing>
      </w:r>
    </w:p>
    <w:p w14:paraId="2B20A8E5">
      <w:pPr>
        <w:widowControl w:val="0"/>
        <w:autoSpaceDE w:val="0"/>
        <w:autoSpaceDN w:val="0"/>
        <w:spacing w:after="0" w:line="276" w:lineRule="auto"/>
        <w:ind w:firstLine="709"/>
        <w:jc w:val="both"/>
        <w:outlineLvl w:val="0"/>
        <w:rPr>
          <w:rFonts w:ascii="Times New Roman" w:hAnsi="Times New Roman" w:eastAsia="Times New Roman" w:cs="Times New Roman"/>
          <w:iCs/>
          <w:sz w:val="28"/>
          <w:szCs w:val="28"/>
          <w:lang w:eastAsia="ru-RU"/>
        </w:rPr>
      </w:pPr>
    </w:p>
    <w:p w14:paraId="1EFC277E">
      <w:pPr>
        <w:widowControl w:val="0"/>
        <w:autoSpaceDE w:val="0"/>
        <w:autoSpaceDN w:val="0"/>
        <w:spacing w:after="0" w:line="276" w:lineRule="auto"/>
        <w:ind w:firstLine="709"/>
        <w:jc w:val="both"/>
        <w:outlineLvl w:val="0"/>
        <w:rPr>
          <w:rFonts w:ascii="Times New Roman" w:hAnsi="Times New Roman" w:eastAsia="Times New Roman" w:cs="Times New Roman"/>
          <w:iCs/>
          <w:sz w:val="28"/>
          <w:szCs w:val="28"/>
          <w:lang w:eastAsia="ru-RU"/>
        </w:rPr>
      </w:pPr>
      <w:r>
        <w:rPr>
          <w:rFonts w:ascii="Times New Roman" w:hAnsi="Times New Roman" w:eastAsia="Times New Roman" w:cs="Times New Roman"/>
          <w:iCs/>
          <w:sz w:val="28"/>
          <w:szCs w:val="28"/>
          <w:lang w:eastAsia="ru-RU"/>
        </w:rPr>
        <w:t xml:space="preserve">Сурет – 8. Зерттеу топтары арасындағы таяқша ядролық нейтрофилдер көрсеткіші бойынша деңгейі. </w:t>
      </w:r>
    </w:p>
    <w:p w14:paraId="4A83DF7E">
      <w:pPr>
        <w:widowControl w:val="0"/>
        <w:autoSpaceDE w:val="0"/>
        <w:autoSpaceDN w:val="0"/>
        <w:spacing w:after="0" w:line="276" w:lineRule="auto"/>
        <w:ind w:firstLine="709"/>
        <w:jc w:val="both"/>
        <w:outlineLvl w:val="0"/>
        <w:rPr>
          <w:rFonts w:ascii="Times New Roman" w:hAnsi="Times New Roman" w:eastAsia="Times New Roman" w:cs="Times New Roman"/>
          <w:iCs/>
          <w:sz w:val="28"/>
          <w:szCs w:val="28"/>
          <w:lang w:eastAsia="ru-RU"/>
        </w:rPr>
      </w:pPr>
    </w:p>
    <w:p w14:paraId="4021D2FE">
      <w:pPr>
        <w:widowControl w:val="0"/>
        <w:autoSpaceDE w:val="0"/>
        <w:autoSpaceDN w:val="0"/>
        <w:spacing w:after="0" w:line="276" w:lineRule="auto"/>
        <w:ind w:firstLine="709"/>
        <w:jc w:val="both"/>
        <w:outlineLvl w:val="0"/>
        <w:rPr>
          <w:rFonts w:ascii="Times New Roman" w:hAnsi="Times New Roman" w:eastAsia="Times New Roman" w:cs="Times New Roman"/>
          <w:iCs/>
          <w:sz w:val="28"/>
          <w:szCs w:val="28"/>
          <w:lang w:eastAsia="ru-RU"/>
        </w:rPr>
      </w:pPr>
      <w:r>
        <w:rPr>
          <w:rFonts w:ascii="Times New Roman" w:hAnsi="Times New Roman" w:eastAsia="Times New Roman" w:cs="Times New Roman"/>
          <w:iCs/>
          <w:sz w:val="28"/>
          <w:szCs w:val="28"/>
          <w:lang w:eastAsia="ru-RU"/>
        </w:rPr>
        <w:t>Лейкоциттер тек 1 және 4 топтар арасында маңызды айырмашылық (р = 0,017) анықталды, бұл топтық физиологиялық ерекшеліктердің болуын көрсетеді (сурет - 9). Бұл нейтрофилдердің қабыну процестерінде маңызды рөл атқаратынын дәлелдейді. 1 және 3 топтарды салыстыру барысында семіздігі бар жүкті әйелдерде зәр қышқылы бойынша айырмашылық  анықталды (p=0.019).</w:t>
      </w:r>
    </w:p>
    <w:p w14:paraId="6CA83B87">
      <w:pPr>
        <w:widowControl w:val="0"/>
        <w:autoSpaceDE w:val="0"/>
        <w:autoSpaceDN w:val="0"/>
        <w:spacing w:after="0" w:line="276" w:lineRule="auto"/>
        <w:ind w:firstLine="709"/>
        <w:jc w:val="both"/>
        <w:outlineLvl w:val="0"/>
        <w:rPr>
          <w:rFonts w:ascii="Times New Roman" w:hAnsi="Times New Roman" w:eastAsia="Times New Roman" w:cs="Times New Roman"/>
          <w:iCs/>
          <w:sz w:val="28"/>
          <w:szCs w:val="28"/>
          <w:lang w:eastAsia="ru-RU"/>
        </w:rPr>
      </w:pPr>
    </w:p>
    <w:p w14:paraId="0D00A168">
      <w:pPr>
        <w:widowControl w:val="0"/>
        <w:autoSpaceDE w:val="0"/>
        <w:autoSpaceDN w:val="0"/>
        <w:spacing w:after="0" w:line="276" w:lineRule="auto"/>
        <w:ind w:firstLine="709"/>
        <w:jc w:val="both"/>
        <w:outlineLvl w:val="0"/>
        <w:rPr>
          <w:rFonts w:ascii="Times New Roman" w:hAnsi="Times New Roman" w:eastAsia="Times New Roman" w:cs="Times New Roman"/>
          <w:i/>
          <w:sz w:val="28"/>
          <w:szCs w:val="28"/>
          <w:lang w:eastAsia="ru-RU"/>
        </w:rPr>
      </w:pPr>
      <w:r>
        <w:rPr>
          <w:rFonts w:ascii="Times New Roman" w:hAnsi="Times New Roman" w:eastAsia="Times New Roman" w:cs="Times New Roman"/>
          <w:sz w:val="28"/>
          <w:szCs w:val="28"/>
          <w:lang w:eastAsia="ru-RU"/>
        </w:rPr>
        <w:drawing>
          <wp:inline distT="0" distB="0" distL="0" distR="0">
            <wp:extent cx="4613275" cy="2715260"/>
            <wp:effectExtent l="0" t="0" r="0" b="8890"/>
            <wp:docPr id="102" name="Рисунок 102" descr="C:\Users\kgmuuser\AppData\Local\Temp\ksohtml7396\wps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Рисунок 102" descr="C:\Users\kgmuuser\AppData\Local\Temp\ksohtml7396\wps18.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4613275" cy="2715260"/>
                    </a:xfrm>
                    <a:prstGeom prst="rect">
                      <a:avLst/>
                    </a:prstGeom>
                    <a:noFill/>
                    <a:ln>
                      <a:noFill/>
                    </a:ln>
                  </pic:spPr>
                </pic:pic>
              </a:graphicData>
            </a:graphic>
          </wp:inline>
        </w:drawing>
      </w:r>
      <w:r>
        <w:rPr>
          <w:rFonts w:ascii="Times New Roman" w:hAnsi="Times New Roman" w:eastAsia="Times New Roman" w:cs="Times New Roman"/>
          <w:i/>
          <w:sz w:val="28"/>
          <w:szCs w:val="28"/>
          <w:lang w:eastAsia="ru-RU"/>
        </w:rPr>
        <w:t xml:space="preserve"> </w:t>
      </w:r>
    </w:p>
    <w:p w14:paraId="6C3CD3E4">
      <w:pPr>
        <w:widowControl w:val="0"/>
        <w:autoSpaceDE w:val="0"/>
        <w:autoSpaceDN w:val="0"/>
        <w:spacing w:after="0" w:line="276" w:lineRule="auto"/>
        <w:ind w:firstLine="709"/>
        <w:jc w:val="both"/>
        <w:outlineLvl w:val="0"/>
        <w:rPr>
          <w:rFonts w:ascii="Times New Roman" w:hAnsi="Times New Roman" w:eastAsia="Times New Roman" w:cs="Times New Roman"/>
          <w:iCs/>
          <w:sz w:val="28"/>
          <w:szCs w:val="28"/>
          <w:lang w:eastAsia="ru-RU"/>
        </w:rPr>
      </w:pPr>
    </w:p>
    <w:p w14:paraId="7499CC1C">
      <w:pPr>
        <w:widowControl w:val="0"/>
        <w:autoSpaceDE w:val="0"/>
        <w:autoSpaceDN w:val="0"/>
        <w:spacing w:after="0" w:line="276" w:lineRule="auto"/>
        <w:ind w:firstLine="709"/>
        <w:jc w:val="both"/>
        <w:outlineLvl w:val="0"/>
        <w:rPr>
          <w:rFonts w:ascii="Times New Roman" w:hAnsi="Times New Roman" w:eastAsia="Times New Roman" w:cs="Times New Roman"/>
          <w:i/>
          <w:sz w:val="28"/>
          <w:szCs w:val="28"/>
          <w:lang w:eastAsia="ru-RU"/>
        </w:rPr>
      </w:pPr>
      <w:r>
        <w:rPr>
          <w:rFonts w:ascii="Times New Roman" w:hAnsi="Times New Roman" w:eastAsia="Times New Roman" w:cs="Times New Roman"/>
          <w:iCs/>
          <w:sz w:val="28"/>
          <w:szCs w:val="28"/>
          <w:lang w:eastAsia="ru-RU"/>
        </w:rPr>
        <w:t>Сурет – 9. Зерттеу топтары арасындағы лейкоциттер көрсеткіші бойынша деңгейі.</w:t>
      </w:r>
      <w:r>
        <w:rPr>
          <w:rFonts w:ascii="Times New Roman" w:hAnsi="Times New Roman" w:eastAsia="Times New Roman" w:cs="Times New Roman"/>
          <w:i/>
          <w:sz w:val="28"/>
          <w:szCs w:val="28"/>
          <w:lang w:eastAsia="ru-RU"/>
        </w:rPr>
        <w:t xml:space="preserve"> </w:t>
      </w:r>
    </w:p>
    <w:p w14:paraId="4B3838CB">
      <w:pPr>
        <w:widowControl w:val="0"/>
        <w:autoSpaceDE w:val="0"/>
        <w:autoSpaceDN w:val="0"/>
        <w:spacing w:after="0" w:line="276" w:lineRule="auto"/>
        <w:jc w:val="both"/>
        <w:outlineLvl w:val="0"/>
        <w:rPr>
          <w:rFonts w:ascii="Times New Roman" w:hAnsi="Times New Roman" w:eastAsia="Times New Roman" w:cs="Times New Roman"/>
          <w:i/>
          <w:sz w:val="28"/>
          <w:szCs w:val="28"/>
          <w:lang w:eastAsia="ru-RU"/>
        </w:rPr>
      </w:pPr>
    </w:p>
    <w:p w14:paraId="46E7AFDE">
      <w:pPr>
        <w:widowControl w:val="0"/>
        <w:autoSpaceDE w:val="0"/>
        <w:autoSpaceDN w:val="0"/>
        <w:spacing w:after="0" w:line="276" w:lineRule="auto"/>
        <w:ind w:firstLine="709"/>
        <w:jc w:val="both"/>
        <w:outlineLvl w:val="0"/>
        <w:rPr>
          <w:rFonts w:ascii="Times New Roman" w:hAnsi="Times New Roman" w:eastAsia="Times New Roman" w:cs="Times New Roman"/>
          <w:iCs/>
          <w:color w:val="000000" w:themeColor="text1"/>
          <w:sz w:val="28"/>
          <w:szCs w:val="28"/>
          <w:lang w:eastAsia="ru-RU"/>
          <w14:textFill>
            <w14:solidFill>
              <w14:schemeClr w14:val="tx1"/>
            </w14:solidFill>
          </w14:textFill>
        </w:rPr>
      </w:pPr>
      <w:r>
        <w:rPr>
          <w:rFonts w:ascii="Times New Roman" w:hAnsi="Times New Roman" w:eastAsia="Times New Roman" w:cs="Times New Roman"/>
          <w:iCs/>
          <w:color w:val="000000" w:themeColor="text1"/>
          <w:sz w:val="28"/>
          <w:szCs w:val="28"/>
          <w:lang w:eastAsia="ru-RU"/>
          <w14:textFill>
            <w14:solidFill>
              <w14:schemeClr w14:val="tx1"/>
            </w14:solidFill>
          </w14:textFill>
        </w:rPr>
        <w:t xml:space="preserve"> </w:t>
      </w:r>
      <w:r>
        <w:rPr>
          <w:rFonts w:ascii="Times New Roman" w:hAnsi="Times New Roman" w:eastAsia="Times New Roman"/>
          <w:iCs/>
          <w:color w:val="000000" w:themeColor="text1"/>
          <w:sz w:val="28"/>
          <w:szCs w:val="28"/>
          <w:lang w:eastAsia="ru-RU"/>
          <w14:textFill>
            <w14:solidFill>
              <w14:schemeClr w14:val="tx1"/>
            </w14:solidFill>
          </w14:textFill>
        </w:rPr>
        <w:t>Жалпы ақуыз деңгейі анемиясы және семіздігі бар жүкті әйелдерде төмендеген (p = 0,002), бұл белок алмасу бұзылыстарының дамуын көрсетуі мүмкін. Зәр қышқылы деңгейінің жоғарылауы 1 және 3-топтар арасында (p = 0,019) семіздік кезінде метаболикалық өзгерістердің болатындығын көрсетеді. Тікелей билирубин деңгейінің жоғарылауы 4-топта 1 және 3-топтармен салыстырғанда жоғары болды (p &lt; 0,005), бұл бауыр функциясының өзгерістерін көрсетуі мүмкін.</w:t>
      </w:r>
    </w:p>
    <w:p w14:paraId="4152B59C">
      <w:pPr>
        <w:widowControl w:val="0"/>
        <w:autoSpaceDE w:val="0"/>
        <w:autoSpaceDN w:val="0"/>
        <w:spacing w:after="0" w:line="276" w:lineRule="auto"/>
        <w:ind w:firstLine="709"/>
        <w:jc w:val="both"/>
        <w:outlineLvl w:val="0"/>
        <w:rPr>
          <w:rFonts w:ascii="Times New Roman" w:hAnsi="Times New Roman" w:eastAsia="Times New Roman" w:cs="Times New Roman"/>
          <w:iCs/>
          <w:sz w:val="28"/>
          <w:szCs w:val="28"/>
          <w:lang w:eastAsia="ru-RU"/>
        </w:rPr>
      </w:pPr>
      <w:r>
        <w:rPr>
          <w:rFonts w:ascii="Times New Roman" w:hAnsi="Times New Roman" w:eastAsia="Times New Roman" w:cs="Times New Roman"/>
          <w:iCs/>
          <w:sz w:val="28"/>
          <w:szCs w:val="28"/>
          <w:lang w:eastAsia="ru-RU"/>
        </w:rPr>
        <w:t>Тікелей билирубин бойынша 1 және 4-топтар арасында (p=0,005), сондай-ақ 3 және 4-топтар арасында (p=0,028) статистикалық маңызды айырмашылықтар анықталды. Бұл айырмашылықтардың клиникалық маңыздылығы аз, себебі топтар медианасы қалыпты шектерде сақталған (3.7–4.6 мкмоль/л). АСТ бойынша 1 және 4-топтар арасындағы айырмашылық АСТ деңгейінің 4-топта (семіздік пен анемиясы бар жүкті әйелдер) төмендеуімен байланысты. 3 және 4-топтар арасындағы айырмашылық 4-топта АСТ деңгейінің салыстырмалы түрде төмендеуімен түсіндіріледі, бұл семіздікпен бірге анемияның да бауыр ферменттерінің деңгейіне әсерін көрсетуі мүмкін екендігін көрсетеді. АСТ деңгейіндегі айырмашылықтар клиникалық тұрғыдан қалыпты шектерде болғандықтан, олар метаболикалық немесе физиологиялық өзгерістердің көрсеткіші ретінде қарастырылады, бірақ патологиялық жағдайды нақты дәлелдемейді.</w:t>
      </w:r>
    </w:p>
    <w:p w14:paraId="1D0DF2F9">
      <w:pPr>
        <w:widowControl w:val="0"/>
        <w:autoSpaceDE w:val="0"/>
        <w:autoSpaceDN w:val="0"/>
        <w:spacing w:after="0" w:line="276" w:lineRule="auto"/>
        <w:ind w:firstLine="709"/>
        <w:jc w:val="both"/>
        <w:outlineLvl w:val="0"/>
        <w:rPr>
          <w:rFonts w:ascii="Times New Roman" w:hAnsi="Times New Roman" w:eastAsia="Times New Roman" w:cs="Times New Roman"/>
          <w:iCs/>
          <w:sz w:val="28"/>
          <w:szCs w:val="28"/>
          <w:lang w:eastAsia="ru-RU"/>
        </w:rPr>
      </w:pPr>
      <w:r>
        <w:rPr>
          <w:rFonts w:ascii="Times New Roman" w:hAnsi="Times New Roman" w:eastAsia="Times New Roman" w:cs="Times New Roman"/>
          <w:iCs/>
          <w:sz w:val="28"/>
          <w:szCs w:val="28"/>
          <w:lang w:eastAsia="ru-RU"/>
        </w:rPr>
        <w:t xml:space="preserve">Коагулограмма бойынша семіздігі бар топтарда протромбин индексінің шамалы жоғарылағаны байқалды (p&lt;0.05). Бұл қан ұю жүйесінің ерекшеліктерін көрсетеді, бірақ клиникалық тұрғыдан қалыпты деп бағаланды. </w:t>
      </w:r>
      <w:r>
        <w:rPr>
          <w:rFonts w:ascii="Times New Roman" w:hAnsi="Times New Roman" w:eastAsia="Times New Roman" w:cs="Times New Roman"/>
          <w:iCs/>
          <w:sz w:val="28"/>
          <w:szCs w:val="28"/>
          <w:lang w:val="kk-KZ" w:eastAsia="ru-RU"/>
        </w:rPr>
        <w:t>БЖТУ</w:t>
      </w:r>
      <w:r>
        <w:rPr>
          <w:rFonts w:ascii="Times New Roman" w:hAnsi="Times New Roman" w:eastAsia="Times New Roman" w:cs="Times New Roman"/>
          <w:iCs/>
          <w:sz w:val="28"/>
          <w:szCs w:val="28"/>
          <w:lang w:eastAsia="ru-RU"/>
        </w:rPr>
        <w:t xml:space="preserve"> көрсеткіші бойынша айтарлықтай статистикалық айырмашылық анықталмағанымен, семіздік пен анемия қан ұю процестерінің белсенділігіне әсер етуі мүмкін.</w:t>
      </w:r>
    </w:p>
    <w:p w14:paraId="3B2EF101">
      <w:pPr>
        <w:widowControl w:val="0"/>
        <w:autoSpaceDE w:val="0"/>
        <w:autoSpaceDN w:val="0"/>
        <w:spacing w:after="0" w:line="276" w:lineRule="auto"/>
        <w:ind w:firstLine="709"/>
        <w:jc w:val="both"/>
        <w:outlineLvl w:val="0"/>
        <w:rPr>
          <w:rFonts w:ascii="Times New Roman" w:hAnsi="Times New Roman" w:eastAsia="Times New Roman" w:cs="Times New Roman"/>
          <w:iCs/>
          <w:sz w:val="28"/>
          <w:szCs w:val="28"/>
          <w:lang w:eastAsia="ru-RU"/>
        </w:rPr>
      </w:pPr>
      <w:r>
        <w:rPr>
          <w:rFonts w:ascii="Times New Roman" w:hAnsi="Times New Roman" w:eastAsia="Times New Roman" w:cs="Times New Roman"/>
          <w:iCs/>
          <w:sz w:val="28"/>
          <w:szCs w:val="28"/>
          <w:lang w:eastAsia="ru-RU"/>
        </w:rPr>
        <w:t>Жүргізілген топаралық салыстырмалы талдау нәтижелері семіздік пен анемияның жүкті әйелдердің қабыну және метаболикалық процестеріне елеулі әсер ететінін көрсетеді. Бұл өзгерістердің босану ағымына ықпалын тереңірек зерттеу қажет.</w:t>
      </w:r>
    </w:p>
    <w:p w14:paraId="12E09632">
      <w:pPr>
        <w:widowControl w:val="0"/>
        <w:autoSpaceDE w:val="0"/>
        <w:autoSpaceDN w:val="0"/>
        <w:spacing w:after="0" w:line="276" w:lineRule="auto"/>
        <w:ind w:firstLine="709"/>
        <w:jc w:val="both"/>
        <w:outlineLvl w:val="0"/>
        <w:rPr>
          <w:rFonts w:ascii="Times New Roman" w:hAnsi="Times New Roman" w:eastAsia="Times New Roman" w:cs="Times New Roman"/>
          <w:iCs/>
          <w:sz w:val="28"/>
          <w:szCs w:val="28"/>
          <w:lang w:eastAsia="ru-RU"/>
        </w:rPr>
      </w:pPr>
      <w:r>
        <w:rPr>
          <w:rFonts w:ascii="Times New Roman" w:hAnsi="Times New Roman" w:eastAsia="Times New Roman" w:cs="Times New Roman"/>
          <w:sz w:val="28"/>
          <w:szCs w:val="28"/>
          <w:lang w:eastAsia="ru-RU"/>
        </w:rPr>
        <w:t>Осыған дейін жүргізілген зерттеулерге тоқтала кетсек, нейтрофилдер адам қанындағы ең көп таралған лейкоциттер болып табылады және олар жедел қабыну процесінің негізгі жасушалары ретінде белгілі. Олар инфекцияларға алғашқы болып жауап береді және иммундық жауаптың маңызды бөлігі болып табылады [163, 164]. Нейтрофилдер фагоцитарлық жасушалар ретінде әрекет етіп, инфекцияларға қарсы қорғаныс жасайды [165]. Сонымен қатар, нейтрофилдер жедел қабыну кезінде негізгі роль атқарады [166, 167].</w:t>
      </w:r>
    </w:p>
    <w:p w14:paraId="4CEEC60B">
      <w:pPr>
        <w:autoSpaceDE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Қан айналымындағы нейтрофилдердің деңгейі семіздікте айтарлықтай жоғарылайды, бұл жоғары </w:t>
      </w:r>
      <w:r>
        <w:rPr>
          <w:rFonts w:ascii="Times New Roman" w:hAnsi="Times New Roman" w:eastAsia="Times New Roman" w:cs="Times New Roman"/>
          <w:sz w:val="28"/>
          <w:szCs w:val="28"/>
          <w:lang w:val="kk-KZ" w:eastAsia="ru-RU"/>
        </w:rPr>
        <w:t>ДСИ-</w:t>
      </w:r>
      <w:r>
        <w:rPr>
          <w:rFonts w:ascii="Times New Roman" w:hAnsi="Times New Roman" w:eastAsia="Times New Roman" w:cs="Times New Roman"/>
          <w:sz w:val="28"/>
          <w:szCs w:val="28"/>
          <w:lang w:eastAsia="ru-RU"/>
        </w:rPr>
        <w:t>мен тікелей байланысты екені анықталған [168, 169, 170, 171, 172]. Бұл деректер семіздік пен қабынудың қарапайым биомаркерлерін іздеуде маңызды негіз болып табылады. Нейтрофилдер мен ДСИ арасындағы айқын корреляция семіздікке байланысты қабыну процестерін сипаттайды [168, 169, 171].</w:t>
      </w:r>
    </w:p>
    <w:p w14:paraId="7F307194">
      <w:pPr>
        <w:autoSpaceDE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Нейтрофилді–лимфоцит арақатынасы (NLR) жүйелі қабынудың сенімді биомаркері ретінде танылған. Бұл көрсеткіш қандағы нейтрофилдер мен лимфоциттердің динамикалық өзгерістерін бейнелеп, қабынудың дәрежесін бағалауға мүмкіндік береді [173]. NLR көптеген медициналық салаларда туа біткен (нейтрофилдер) және адаптивті (лимфоциттер) иммундық жауаптар арасындағы байланысты көрсетеді. Семіздікке шалдыққан адамдарда NLR деңгейінің сау арық адамдарға қарағанда айтарлықтай жоғары екені және оның ДСИ-мен оң корреляциясы анықталған [174, 175, 176, 177, 178, 179, 180].</w:t>
      </w:r>
    </w:p>
    <w:p w14:paraId="008235F4">
      <w:pPr>
        <w:autoSpaceDE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Зерттеуде нейтрофилдердің жоғары деңгейі, лимфоциттердің төмен деңгейі және олардың жоғары ДСИ-мен байланысы анықталды. Бұл нәтижелер бұрынғы зерттеулерді толықтай растап, NLR-дың семіздікке шалдыққан жүкті әйелдердегі қабыну процестерін бағалаудағы маңыздылығын көрсетеді. Біздің зерттеу семіздік пен қабыну арасындағы байланысты тереңірек зерттеу қажеттілігін көрсетеді. Бұл үшін темір метаболизмінің маркерлері мен қабыну медиаторлары қосымша талданды.</w:t>
      </w:r>
    </w:p>
    <w:p w14:paraId="1E5C766F">
      <w:pPr>
        <w:autoSpaceDE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Нейтрофилдер мен лимфоциттердің деңгейі және олардың ДСИ-мен байланысы семіздік пен қабынудың күрделі өзара әрекеттесуін анықтайды. Бұл биомаркерлер семіздікке шалдыққан адамдардағы қабыну процестерін бағалауда маңызды құрал болып табылады.</w:t>
      </w:r>
    </w:p>
    <w:p w14:paraId="5C383AEB">
      <w:pPr>
        <w:autoSpaceDE w:val="0"/>
        <w:spacing w:after="0" w:line="276" w:lineRule="auto"/>
        <w:ind w:firstLine="709"/>
        <w:jc w:val="both"/>
        <w:outlineLvl w:val="0"/>
        <w:rPr>
          <w:rFonts w:ascii="Times New Roman" w:hAnsi="Times New Roman" w:eastAsia="Times New Roman" w:cs="Times New Roman"/>
          <w:sz w:val="28"/>
          <w:szCs w:val="28"/>
          <w:lang w:eastAsia="ru-RU"/>
        </w:rPr>
      </w:pPr>
    </w:p>
    <w:p w14:paraId="7439305B">
      <w:pPr>
        <w:autoSpaceDE w:val="0"/>
        <w:spacing w:after="0" w:line="276" w:lineRule="auto"/>
        <w:ind w:firstLine="709"/>
        <w:jc w:val="both"/>
        <w:outlineLvl w:val="0"/>
        <w:rPr>
          <w:rFonts w:ascii="Times New Roman" w:hAnsi="Times New Roman" w:eastAsia="Times New Roman" w:cs="Times New Roman"/>
          <w:b/>
          <w:bCs/>
          <w:sz w:val="28"/>
          <w:szCs w:val="28"/>
          <w:lang w:eastAsia="ru-RU"/>
        </w:rPr>
      </w:pPr>
      <w:r>
        <w:rPr>
          <w:rFonts w:ascii="Times New Roman" w:hAnsi="Times New Roman" w:eastAsia="Times New Roman" w:cs="Times New Roman"/>
          <w:b/>
          <w:sz w:val="28"/>
          <w:szCs w:val="28"/>
          <w:lang w:eastAsia="ru-RU"/>
        </w:rPr>
        <w:t>3.2</w:t>
      </w:r>
      <w:r>
        <w:rPr>
          <w:rFonts w:ascii="Times New Roman" w:hAnsi="Times New Roman" w:eastAsia="Times New Roman" w:cs="Times New Roman"/>
          <w:sz w:val="28"/>
          <w:szCs w:val="28"/>
          <w:lang w:eastAsia="ru-RU"/>
        </w:rPr>
        <w:t xml:space="preserve">  </w:t>
      </w:r>
      <w:r>
        <w:rPr>
          <w:rFonts w:ascii="Times New Roman" w:hAnsi="Times New Roman" w:eastAsia="Times New Roman" w:cs="Times New Roman"/>
          <w:b/>
          <w:bCs/>
          <w:sz w:val="28"/>
          <w:szCs w:val="28"/>
          <w:lang w:eastAsia="ru-RU"/>
        </w:rPr>
        <w:t>Жүктілікке дейінгі семіздігі бар жүктілерде анемия дамуында  темір алмасу маркерлерінің (гепсидин, эритропоэтин, ферритин) болжамдылық маңыздылығы</w:t>
      </w:r>
    </w:p>
    <w:p w14:paraId="510119A1">
      <w:pPr>
        <w:autoSpaceDE w:val="0"/>
        <w:spacing w:after="0" w:line="276" w:lineRule="auto"/>
        <w:ind w:firstLine="709"/>
        <w:jc w:val="both"/>
        <w:outlineLvl w:val="0"/>
        <w:rPr>
          <w:rFonts w:ascii="Times New Roman" w:hAnsi="Times New Roman" w:eastAsia="Times New Roman" w:cs="Times New Roman"/>
          <w:b/>
          <w:bCs/>
          <w:sz w:val="28"/>
          <w:szCs w:val="28"/>
          <w:lang w:eastAsia="ru-RU"/>
        </w:rPr>
      </w:pPr>
    </w:p>
    <w:p w14:paraId="32411805">
      <w:pPr>
        <w:autoSpaceDE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Біздің зерттеу жұмысымызда семіздігі бар әйелдерде анемия дамуында маңызды роль атқаратын маркерлердің қан сарысуындағы деңгейі анықталды. Барлық зерттелген топтағы жүкті әйелдердің қанындағы зерттелетін көрсеткіштерді көптік салыстыру Краскел–Уоллис критерийі арқылы жүргізілді. Топтар арасындағы елеулі айырмашылықтар тек гепсидин (р&gt;0,010)  мен ферритин (р&gt;0,031) секілді темір метаболизмінің маркерлері бойынша ғана анықталды. Гепсидин бойынша айырмашылық әсіресе бақылау тобымен және анемиясы мен семіздігі бар топтар арасындағы жұптық салыстыруларда көрінді. Нәтижелер 10 – кестеде берілген,  Гепсидиннің медианалық мәндері 1-топта (дені сау жүкті әйелдер) ең төмен – 568,01 (Q1: 314,35 – Q3: 688,43), ал 4-топта (анемиясы және семіздігі бар жүкті әйелдер) ең жоғары – 1786,59 (Q1: 1510,64 – Q3: 1940,43). Бұл анемия мен семіздіктің бірлескен әсері гепсидин деңгейін айтарлықтай арттыратынын көрсетеді. Бұл нәтижелер гепсидиннің қабыну процесіндегі және темір метаболизміндегі маңызды рөлін растайды.</w:t>
      </w:r>
    </w:p>
    <w:p w14:paraId="06434C31">
      <w:pPr>
        <w:autoSpaceDE w:val="0"/>
        <w:spacing w:after="0" w:line="276" w:lineRule="auto"/>
        <w:ind w:firstLine="709"/>
        <w:jc w:val="both"/>
        <w:outlineLvl w:val="0"/>
        <w:rPr>
          <w:rFonts w:ascii="Times New Roman" w:hAnsi="Times New Roman" w:eastAsia="Times New Roman" w:cs="Times New Roman"/>
          <w:color w:val="FF0000"/>
          <w:sz w:val="28"/>
          <w:szCs w:val="28"/>
          <w:lang w:eastAsia="ru-RU"/>
        </w:rPr>
      </w:pPr>
      <w:r>
        <w:rPr>
          <w:rFonts w:ascii="Times New Roman" w:hAnsi="Times New Roman" w:eastAsia="Times New Roman" w:cs="Times New Roman"/>
          <w:sz w:val="28"/>
          <w:szCs w:val="28"/>
          <w:lang w:eastAsia="ru-RU"/>
        </w:rPr>
        <w:t>Эритропоэтиннің медианалық мәндері топтар арасында айтарлықтай айырмашылықтар көрсеткен жоқ (р=0,1132). Дегенмен, жұптық салыстыру нәтижелері бойынша 3 және 4 топтар (семіздігі бар жүкті әйелдер) арасында статистикалық маңызды айырмашылықтар анықталды (p&lt;0,05). Бұл семіздікке байланысты эритропоэз процестеріндегі өзгешеліктерді</w:t>
      </w:r>
      <w:r>
        <w:rPr>
          <w:rFonts w:ascii="Times New Roman" w:hAnsi="Times New Roman" w:eastAsia="Times New Roman" w:cs="Times New Roman"/>
          <w:color w:val="000000"/>
          <w:sz w:val="28"/>
          <w:szCs w:val="28"/>
          <w:lang w:eastAsia="ru-RU"/>
        </w:rPr>
        <w:t xml:space="preserve"> көрсетуі мүмкін.</w:t>
      </w:r>
    </w:p>
    <w:p w14:paraId="5ECE9524">
      <w:pPr>
        <w:autoSpaceDE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Ферритиннің медианалық мәндері 2 және 4 топтарда (анемиясы бар және анемиясы мен семіздігі бар жүкті әйелдер) ең төмен болды, тиісінше 11,82 және 8,49. Бұл анемияның темір қорларына айтарлықтай әсер ететінін көрсетеді. Ферритин бойынша барлық топтар арасындағы айырмашылықтар (p=0,031) маңызды. Әсіресе, анемиясы бар және семіздігі бар топтардағы ферритин деңгейі бақылау тобына қарағанда айтарлықтай төмен болды (р=0,019, р=0,009). Бұл анемия мен семіздік бірлескен әсерінің темір гомеостазына теріс ықпалын растайды.</w:t>
      </w:r>
    </w:p>
    <w:p w14:paraId="363C7FC3">
      <w:pPr>
        <w:autoSpaceDE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 </w:t>
      </w:r>
    </w:p>
    <w:p w14:paraId="49FE3514">
      <w:pPr>
        <w:autoSpaceDE w:val="0"/>
        <w:spacing w:after="0" w:line="276" w:lineRule="auto"/>
        <w:ind w:firstLine="709"/>
        <w:jc w:val="both"/>
        <w:outlineLvl w:val="0"/>
        <w:rPr>
          <w:rFonts w:ascii="Times New Roman" w:hAnsi="Times New Roman" w:eastAsia="Times New Roman" w:cs="Times New Roman"/>
          <w:iCs/>
          <w:sz w:val="28"/>
          <w:szCs w:val="28"/>
          <w:lang w:eastAsia="ru-RU"/>
        </w:rPr>
      </w:pPr>
      <w:r>
        <w:rPr>
          <w:rFonts w:ascii="Times New Roman" w:hAnsi="Times New Roman" w:eastAsia="Times New Roman" w:cs="Times New Roman"/>
          <w:iCs/>
          <w:sz w:val="28"/>
          <w:szCs w:val="28"/>
          <w:lang w:eastAsia="ru-RU"/>
        </w:rPr>
        <w:t>Кесте – 10. Темір алмасуының маркерлерінің зерттеу топтары арасындағы айырмашылығы</w:t>
      </w:r>
    </w:p>
    <w:p w14:paraId="384726EB">
      <w:pPr>
        <w:autoSpaceDE w:val="0"/>
        <w:spacing w:after="0" w:line="276" w:lineRule="auto"/>
        <w:ind w:firstLine="709"/>
        <w:jc w:val="both"/>
        <w:outlineLvl w:val="0"/>
        <w:rPr>
          <w:rFonts w:ascii="Times New Roman" w:hAnsi="Times New Roman" w:eastAsia="Times New Roman" w:cs="Times New Roman"/>
          <w:iCs/>
          <w:sz w:val="28"/>
          <w:szCs w:val="28"/>
          <w:lang w:eastAsia="ru-RU"/>
        </w:rPr>
      </w:pPr>
    </w:p>
    <w:tbl>
      <w:tblPr>
        <w:tblStyle w:val="5"/>
        <w:tblW w:w="9348" w:type="dxa"/>
        <w:tblInd w:w="0" w:type="dxa"/>
        <w:tblLayout w:type="fixed"/>
        <w:tblCellMar>
          <w:top w:w="15" w:type="dxa"/>
          <w:left w:w="15" w:type="dxa"/>
          <w:bottom w:w="15" w:type="dxa"/>
          <w:right w:w="15" w:type="dxa"/>
        </w:tblCellMar>
      </w:tblPr>
      <w:tblGrid>
        <w:gridCol w:w="839"/>
        <w:gridCol w:w="537"/>
        <w:gridCol w:w="537"/>
        <w:gridCol w:w="537"/>
        <w:gridCol w:w="603"/>
        <w:gridCol w:w="603"/>
        <w:gridCol w:w="605"/>
        <w:gridCol w:w="472"/>
        <w:gridCol w:w="603"/>
        <w:gridCol w:w="605"/>
        <w:gridCol w:w="603"/>
        <w:gridCol w:w="603"/>
        <w:gridCol w:w="608"/>
        <w:gridCol w:w="986"/>
        <w:gridCol w:w="607"/>
      </w:tblGrid>
      <w:tr w14:paraId="495BDC20">
        <w:tblPrEx>
          <w:tblCellMar>
            <w:top w:w="15" w:type="dxa"/>
            <w:left w:w="15" w:type="dxa"/>
            <w:bottom w:w="15" w:type="dxa"/>
            <w:right w:w="15" w:type="dxa"/>
          </w:tblCellMar>
        </w:tblPrEx>
        <w:trPr>
          <w:trHeight w:val="1079" w:hRule="atLeast"/>
        </w:trPr>
        <w:tc>
          <w:tcPr>
            <w:tcW w:w="839" w:type="dxa"/>
            <w:vMerge w:val="restart"/>
            <w:tcBorders>
              <w:top w:val="outset" w:color="auto" w:sz="6" w:space="0"/>
              <w:left w:val="outset" w:color="auto" w:sz="6" w:space="0"/>
              <w:right w:val="outset" w:color="auto" w:sz="6" w:space="0"/>
            </w:tcBorders>
          </w:tcPr>
          <w:p w14:paraId="1CACD95E">
            <w:pPr>
              <w:widowControl w:val="0"/>
              <w:autoSpaceDE w:val="0"/>
              <w:autoSpaceDN w:val="0"/>
              <w:spacing w:after="0" w:line="276" w:lineRule="auto"/>
              <w:jc w:val="both"/>
              <w:outlineLvl w:val="0"/>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Pr>
              <w:t>Маркерлер</w:t>
            </w:r>
          </w:p>
        </w:tc>
        <w:tc>
          <w:tcPr>
            <w:tcW w:w="1611" w:type="dxa"/>
            <w:gridSpan w:val="3"/>
            <w:tcBorders>
              <w:top w:val="outset" w:color="auto" w:sz="6" w:space="0"/>
              <w:left w:val="outset" w:color="auto" w:sz="6" w:space="0"/>
              <w:bottom w:val="outset" w:color="auto" w:sz="6" w:space="0"/>
              <w:right w:val="outset" w:color="auto" w:sz="6" w:space="0"/>
            </w:tcBorders>
          </w:tcPr>
          <w:p w14:paraId="2E1BB661">
            <w:pPr>
              <w:widowControl w:val="0"/>
              <w:autoSpaceDE w:val="0"/>
              <w:autoSpaceDN w:val="0"/>
              <w:spacing w:after="0" w:line="276" w:lineRule="auto"/>
              <w:jc w:val="both"/>
              <w:outlineLvl w:val="0"/>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Pr>
              <w:t>Бақылау</w:t>
            </w:r>
          </w:p>
          <w:p w14:paraId="783068CC">
            <w:pPr>
              <w:widowControl w:val="0"/>
              <w:autoSpaceDE w:val="0"/>
              <w:autoSpaceDN w:val="0"/>
              <w:spacing w:after="0" w:line="276" w:lineRule="auto"/>
              <w:jc w:val="both"/>
              <w:outlineLvl w:val="0"/>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Pr>
              <w:t>тобы</w:t>
            </w:r>
          </w:p>
        </w:tc>
        <w:tc>
          <w:tcPr>
            <w:tcW w:w="5305" w:type="dxa"/>
            <w:gridSpan w:val="9"/>
            <w:tcBorders>
              <w:top w:val="outset" w:color="auto" w:sz="6" w:space="0"/>
              <w:left w:val="outset" w:color="auto" w:sz="6" w:space="0"/>
              <w:bottom w:val="outset" w:color="auto" w:sz="6" w:space="0"/>
              <w:right w:val="outset" w:color="auto" w:sz="6" w:space="0"/>
            </w:tcBorders>
          </w:tcPr>
          <w:p w14:paraId="743157D6">
            <w:pPr>
              <w:widowControl w:val="0"/>
              <w:autoSpaceDE w:val="0"/>
              <w:autoSpaceDN w:val="0"/>
              <w:spacing w:after="0" w:line="276" w:lineRule="auto"/>
              <w:jc w:val="both"/>
              <w:outlineLvl w:val="0"/>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Pr>
              <w:t>Негізгі топтар</w:t>
            </w:r>
          </w:p>
        </w:tc>
        <w:tc>
          <w:tcPr>
            <w:tcW w:w="986" w:type="dxa"/>
            <w:vMerge w:val="restart"/>
            <w:tcBorders>
              <w:top w:val="outset" w:color="auto" w:sz="6" w:space="0"/>
              <w:left w:val="outset" w:color="auto" w:sz="6" w:space="0"/>
              <w:right w:val="outset" w:color="auto" w:sz="6" w:space="0"/>
            </w:tcBorders>
          </w:tcPr>
          <w:p w14:paraId="2403A527">
            <w:pPr>
              <w:widowControl w:val="0"/>
              <w:autoSpaceDE w:val="0"/>
              <w:autoSpaceDN w:val="0"/>
              <w:spacing w:after="0" w:line="276" w:lineRule="auto"/>
              <w:jc w:val="both"/>
              <w:outlineLvl w:val="0"/>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Pr>
              <w:t>Kruskal–Wallis test (H)</w:t>
            </w:r>
          </w:p>
        </w:tc>
        <w:tc>
          <w:tcPr>
            <w:tcW w:w="607" w:type="dxa"/>
            <w:vMerge w:val="restart"/>
            <w:tcBorders>
              <w:top w:val="outset" w:color="auto" w:sz="6" w:space="0"/>
              <w:left w:val="outset" w:color="auto" w:sz="6" w:space="0"/>
              <w:right w:val="outset" w:color="auto" w:sz="6" w:space="0"/>
            </w:tcBorders>
          </w:tcPr>
          <w:p w14:paraId="3AE39F1D">
            <w:pPr>
              <w:widowControl w:val="0"/>
              <w:autoSpaceDE w:val="0"/>
              <w:autoSpaceDN w:val="0"/>
              <w:spacing w:after="0" w:line="276" w:lineRule="auto"/>
              <w:jc w:val="both"/>
              <w:outlineLvl w:val="0"/>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Pr>
              <w:t>p–level</w:t>
            </w:r>
          </w:p>
        </w:tc>
      </w:tr>
      <w:tr w14:paraId="329CFDEA">
        <w:tblPrEx>
          <w:tblCellMar>
            <w:top w:w="15" w:type="dxa"/>
            <w:left w:w="15" w:type="dxa"/>
            <w:bottom w:w="15" w:type="dxa"/>
            <w:right w:w="15" w:type="dxa"/>
          </w:tblCellMar>
        </w:tblPrEx>
        <w:trPr>
          <w:trHeight w:val="1079" w:hRule="atLeast"/>
        </w:trPr>
        <w:tc>
          <w:tcPr>
            <w:tcW w:w="839" w:type="dxa"/>
            <w:vMerge w:val="continue"/>
            <w:tcBorders>
              <w:left w:val="outset" w:color="auto" w:sz="6" w:space="0"/>
              <w:right w:val="outset" w:color="auto" w:sz="6" w:space="0"/>
            </w:tcBorders>
          </w:tcPr>
          <w:p w14:paraId="64188121">
            <w:pPr>
              <w:widowControl w:val="0"/>
              <w:autoSpaceDE w:val="0"/>
              <w:autoSpaceDN w:val="0"/>
              <w:spacing w:after="0" w:line="276" w:lineRule="auto"/>
              <w:jc w:val="both"/>
              <w:outlineLvl w:val="0"/>
              <w:rPr>
                <w:rFonts w:ascii="Times New Roman" w:hAnsi="Times New Roman" w:eastAsia="Times New Roman" w:cs="Times New Roman"/>
                <w:b/>
                <w:bCs/>
                <w:sz w:val="28"/>
                <w:szCs w:val="28"/>
              </w:rPr>
            </w:pPr>
          </w:p>
        </w:tc>
        <w:tc>
          <w:tcPr>
            <w:tcW w:w="1611" w:type="dxa"/>
            <w:gridSpan w:val="3"/>
            <w:tcBorders>
              <w:top w:val="outset" w:color="auto" w:sz="6" w:space="0"/>
              <w:left w:val="outset" w:color="auto" w:sz="6" w:space="0"/>
              <w:bottom w:val="outset" w:color="auto" w:sz="6" w:space="0"/>
              <w:right w:val="outset" w:color="auto" w:sz="6" w:space="0"/>
            </w:tcBorders>
          </w:tcPr>
          <w:p w14:paraId="1B1EB019">
            <w:pPr>
              <w:widowControl w:val="0"/>
              <w:autoSpaceDE w:val="0"/>
              <w:autoSpaceDN w:val="0"/>
              <w:spacing w:after="0" w:line="276" w:lineRule="auto"/>
              <w:jc w:val="both"/>
              <w:outlineLvl w:val="0"/>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Pr>
              <w:t>1 топ</w:t>
            </w:r>
          </w:p>
          <w:p w14:paraId="03567226">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b/>
                <w:bCs/>
                <w:sz w:val="28"/>
                <w:szCs w:val="28"/>
              </w:rPr>
              <w:t>(n=43)</w:t>
            </w:r>
          </w:p>
        </w:tc>
        <w:tc>
          <w:tcPr>
            <w:tcW w:w="1811" w:type="dxa"/>
            <w:gridSpan w:val="3"/>
            <w:tcBorders>
              <w:top w:val="outset" w:color="auto" w:sz="6" w:space="0"/>
              <w:left w:val="outset" w:color="auto" w:sz="6" w:space="0"/>
              <w:bottom w:val="outset" w:color="auto" w:sz="6" w:space="0"/>
              <w:right w:val="outset" w:color="auto" w:sz="6" w:space="0"/>
            </w:tcBorders>
          </w:tcPr>
          <w:p w14:paraId="2665BEB9">
            <w:pPr>
              <w:widowControl w:val="0"/>
              <w:autoSpaceDE w:val="0"/>
              <w:autoSpaceDN w:val="0"/>
              <w:spacing w:after="0" w:line="276" w:lineRule="auto"/>
              <w:jc w:val="both"/>
              <w:outlineLvl w:val="0"/>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Pr>
              <w:t>2 топ</w:t>
            </w:r>
          </w:p>
          <w:p w14:paraId="28528B69">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b/>
                <w:bCs/>
                <w:sz w:val="28"/>
                <w:szCs w:val="28"/>
              </w:rPr>
              <w:t>(n=40)</w:t>
            </w:r>
          </w:p>
        </w:tc>
        <w:tc>
          <w:tcPr>
            <w:tcW w:w="1680" w:type="dxa"/>
            <w:gridSpan w:val="3"/>
            <w:tcBorders>
              <w:top w:val="outset" w:color="auto" w:sz="6" w:space="0"/>
              <w:left w:val="outset" w:color="auto" w:sz="6" w:space="0"/>
              <w:bottom w:val="outset" w:color="auto" w:sz="6" w:space="0"/>
              <w:right w:val="outset" w:color="auto" w:sz="6" w:space="0"/>
            </w:tcBorders>
          </w:tcPr>
          <w:p w14:paraId="01BB0A93">
            <w:pPr>
              <w:widowControl w:val="0"/>
              <w:autoSpaceDE w:val="0"/>
              <w:autoSpaceDN w:val="0"/>
              <w:spacing w:after="0" w:line="276" w:lineRule="auto"/>
              <w:jc w:val="both"/>
              <w:outlineLvl w:val="0"/>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Pr>
              <w:t>3 топ</w:t>
            </w:r>
          </w:p>
          <w:p w14:paraId="7F914B31">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b/>
                <w:bCs/>
                <w:sz w:val="28"/>
                <w:szCs w:val="28"/>
              </w:rPr>
              <w:t>(n=48)</w:t>
            </w:r>
          </w:p>
        </w:tc>
        <w:tc>
          <w:tcPr>
            <w:tcW w:w="1814" w:type="dxa"/>
            <w:gridSpan w:val="3"/>
            <w:tcBorders>
              <w:top w:val="outset" w:color="auto" w:sz="6" w:space="0"/>
              <w:left w:val="outset" w:color="auto" w:sz="6" w:space="0"/>
              <w:bottom w:val="outset" w:color="auto" w:sz="6" w:space="0"/>
              <w:right w:val="outset" w:color="auto" w:sz="6" w:space="0"/>
            </w:tcBorders>
          </w:tcPr>
          <w:p w14:paraId="03FE93F0">
            <w:pPr>
              <w:widowControl w:val="0"/>
              <w:autoSpaceDE w:val="0"/>
              <w:autoSpaceDN w:val="0"/>
              <w:spacing w:after="0" w:line="276" w:lineRule="auto"/>
              <w:jc w:val="both"/>
              <w:outlineLvl w:val="0"/>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Pr>
              <w:t>4 топ</w:t>
            </w:r>
          </w:p>
          <w:p w14:paraId="587E0F6A">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b/>
                <w:bCs/>
                <w:sz w:val="28"/>
                <w:szCs w:val="28"/>
              </w:rPr>
              <w:t>(n=36)</w:t>
            </w:r>
          </w:p>
        </w:tc>
        <w:tc>
          <w:tcPr>
            <w:tcW w:w="986" w:type="dxa"/>
            <w:vMerge w:val="continue"/>
            <w:tcBorders>
              <w:left w:val="outset" w:color="auto" w:sz="6" w:space="0"/>
              <w:right w:val="outset" w:color="auto" w:sz="6" w:space="0"/>
            </w:tcBorders>
          </w:tcPr>
          <w:p w14:paraId="77223C4E">
            <w:pPr>
              <w:widowControl w:val="0"/>
              <w:autoSpaceDE w:val="0"/>
              <w:autoSpaceDN w:val="0"/>
              <w:spacing w:after="0" w:line="276" w:lineRule="auto"/>
              <w:jc w:val="both"/>
              <w:outlineLvl w:val="0"/>
              <w:rPr>
                <w:rFonts w:ascii="Times New Roman" w:hAnsi="Times New Roman" w:eastAsia="Times New Roman" w:cs="Times New Roman"/>
                <w:sz w:val="28"/>
                <w:szCs w:val="28"/>
              </w:rPr>
            </w:pPr>
          </w:p>
        </w:tc>
        <w:tc>
          <w:tcPr>
            <w:tcW w:w="607" w:type="dxa"/>
            <w:vMerge w:val="continue"/>
            <w:tcBorders>
              <w:left w:val="outset" w:color="auto" w:sz="6" w:space="0"/>
              <w:right w:val="outset" w:color="auto" w:sz="6" w:space="0"/>
            </w:tcBorders>
          </w:tcPr>
          <w:p w14:paraId="777084A1">
            <w:pPr>
              <w:widowControl w:val="0"/>
              <w:autoSpaceDE w:val="0"/>
              <w:autoSpaceDN w:val="0"/>
              <w:spacing w:after="0" w:line="276" w:lineRule="auto"/>
              <w:jc w:val="both"/>
              <w:outlineLvl w:val="0"/>
              <w:rPr>
                <w:rFonts w:ascii="Times New Roman" w:hAnsi="Times New Roman" w:eastAsia="Times New Roman" w:cs="Times New Roman"/>
                <w:sz w:val="28"/>
                <w:szCs w:val="28"/>
              </w:rPr>
            </w:pPr>
          </w:p>
        </w:tc>
      </w:tr>
      <w:tr w14:paraId="46268371">
        <w:tblPrEx>
          <w:tblCellMar>
            <w:top w:w="15" w:type="dxa"/>
            <w:left w:w="15" w:type="dxa"/>
            <w:bottom w:w="15" w:type="dxa"/>
            <w:right w:w="15" w:type="dxa"/>
          </w:tblCellMar>
        </w:tblPrEx>
        <w:trPr>
          <w:trHeight w:val="359" w:hRule="atLeast"/>
        </w:trPr>
        <w:tc>
          <w:tcPr>
            <w:tcW w:w="839" w:type="dxa"/>
            <w:vMerge w:val="continue"/>
            <w:tcBorders>
              <w:left w:val="outset" w:color="auto" w:sz="6" w:space="0"/>
              <w:bottom w:val="outset" w:color="auto" w:sz="6" w:space="0"/>
              <w:right w:val="outset" w:color="auto" w:sz="6" w:space="0"/>
            </w:tcBorders>
          </w:tcPr>
          <w:p w14:paraId="4BC5C35D">
            <w:pPr>
              <w:widowControl w:val="0"/>
              <w:autoSpaceDE w:val="0"/>
              <w:autoSpaceDN w:val="0"/>
              <w:spacing w:after="0" w:line="276" w:lineRule="auto"/>
              <w:jc w:val="both"/>
              <w:outlineLvl w:val="0"/>
              <w:rPr>
                <w:rFonts w:ascii="Times New Roman" w:hAnsi="Times New Roman" w:eastAsia="Times New Roman" w:cs="Times New Roman"/>
                <w:sz w:val="28"/>
                <w:szCs w:val="28"/>
              </w:rPr>
            </w:pPr>
          </w:p>
        </w:tc>
        <w:tc>
          <w:tcPr>
            <w:tcW w:w="537" w:type="dxa"/>
            <w:tcBorders>
              <w:top w:val="nil"/>
              <w:left w:val="outset" w:color="auto" w:sz="6" w:space="0"/>
              <w:bottom w:val="outset" w:color="auto" w:sz="6" w:space="0"/>
              <w:right w:val="outset" w:color="auto" w:sz="6" w:space="0"/>
            </w:tcBorders>
          </w:tcPr>
          <w:p w14:paraId="7CE499F4">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Me</w:t>
            </w:r>
          </w:p>
        </w:tc>
        <w:tc>
          <w:tcPr>
            <w:tcW w:w="537" w:type="dxa"/>
            <w:tcBorders>
              <w:top w:val="nil"/>
              <w:left w:val="outset" w:color="auto" w:sz="6" w:space="0"/>
              <w:bottom w:val="outset" w:color="auto" w:sz="6" w:space="0"/>
              <w:right w:val="outset" w:color="auto" w:sz="6" w:space="0"/>
            </w:tcBorders>
          </w:tcPr>
          <w:p w14:paraId="68F3174E">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Q1</w:t>
            </w:r>
          </w:p>
        </w:tc>
        <w:tc>
          <w:tcPr>
            <w:tcW w:w="537" w:type="dxa"/>
            <w:tcBorders>
              <w:top w:val="nil"/>
              <w:left w:val="outset" w:color="auto" w:sz="6" w:space="0"/>
              <w:bottom w:val="outset" w:color="auto" w:sz="6" w:space="0"/>
              <w:right w:val="outset" w:color="auto" w:sz="6" w:space="0"/>
            </w:tcBorders>
          </w:tcPr>
          <w:p w14:paraId="50D1FA4E">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Q3</w:t>
            </w:r>
          </w:p>
        </w:tc>
        <w:tc>
          <w:tcPr>
            <w:tcW w:w="603" w:type="dxa"/>
            <w:tcBorders>
              <w:top w:val="nil"/>
              <w:left w:val="outset" w:color="auto" w:sz="6" w:space="0"/>
              <w:bottom w:val="outset" w:color="auto" w:sz="6" w:space="0"/>
              <w:right w:val="outset" w:color="auto" w:sz="6" w:space="0"/>
            </w:tcBorders>
          </w:tcPr>
          <w:p w14:paraId="227C5C8D">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Me</w:t>
            </w:r>
          </w:p>
        </w:tc>
        <w:tc>
          <w:tcPr>
            <w:tcW w:w="603" w:type="dxa"/>
            <w:tcBorders>
              <w:top w:val="nil"/>
              <w:left w:val="outset" w:color="auto" w:sz="6" w:space="0"/>
              <w:bottom w:val="outset" w:color="auto" w:sz="6" w:space="0"/>
              <w:right w:val="outset" w:color="auto" w:sz="6" w:space="0"/>
            </w:tcBorders>
          </w:tcPr>
          <w:p w14:paraId="17F75B60">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Q1</w:t>
            </w:r>
          </w:p>
        </w:tc>
        <w:tc>
          <w:tcPr>
            <w:tcW w:w="605" w:type="dxa"/>
            <w:tcBorders>
              <w:top w:val="nil"/>
              <w:left w:val="outset" w:color="auto" w:sz="6" w:space="0"/>
              <w:bottom w:val="outset" w:color="auto" w:sz="6" w:space="0"/>
              <w:right w:val="outset" w:color="auto" w:sz="6" w:space="0"/>
            </w:tcBorders>
          </w:tcPr>
          <w:p w14:paraId="077936AA">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Q3</w:t>
            </w:r>
          </w:p>
        </w:tc>
        <w:tc>
          <w:tcPr>
            <w:tcW w:w="472" w:type="dxa"/>
            <w:tcBorders>
              <w:top w:val="outset" w:color="auto" w:sz="6" w:space="0"/>
              <w:left w:val="outset" w:color="auto" w:sz="6" w:space="0"/>
              <w:bottom w:val="outset" w:color="auto" w:sz="6" w:space="0"/>
              <w:right w:val="outset" w:color="auto" w:sz="6" w:space="0"/>
            </w:tcBorders>
          </w:tcPr>
          <w:p w14:paraId="5032C17E">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Me</w:t>
            </w:r>
          </w:p>
        </w:tc>
        <w:tc>
          <w:tcPr>
            <w:tcW w:w="603" w:type="dxa"/>
            <w:tcBorders>
              <w:top w:val="outset" w:color="auto" w:sz="6" w:space="0"/>
              <w:left w:val="outset" w:color="auto" w:sz="6" w:space="0"/>
              <w:bottom w:val="outset" w:color="auto" w:sz="6" w:space="0"/>
              <w:right w:val="outset" w:color="auto" w:sz="6" w:space="0"/>
            </w:tcBorders>
          </w:tcPr>
          <w:p w14:paraId="4635DF48">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Q1</w:t>
            </w:r>
          </w:p>
        </w:tc>
        <w:tc>
          <w:tcPr>
            <w:tcW w:w="605" w:type="dxa"/>
            <w:tcBorders>
              <w:top w:val="outset" w:color="auto" w:sz="6" w:space="0"/>
              <w:left w:val="outset" w:color="auto" w:sz="6" w:space="0"/>
              <w:bottom w:val="outset" w:color="auto" w:sz="6" w:space="0"/>
              <w:right w:val="outset" w:color="auto" w:sz="6" w:space="0"/>
            </w:tcBorders>
          </w:tcPr>
          <w:p w14:paraId="1BC3A533">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Q3</w:t>
            </w:r>
          </w:p>
        </w:tc>
        <w:tc>
          <w:tcPr>
            <w:tcW w:w="603" w:type="dxa"/>
            <w:tcBorders>
              <w:top w:val="outset" w:color="auto" w:sz="6" w:space="0"/>
              <w:left w:val="outset" w:color="auto" w:sz="6" w:space="0"/>
              <w:bottom w:val="outset" w:color="auto" w:sz="6" w:space="0"/>
              <w:right w:val="outset" w:color="auto" w:sz="6" w:space="0"/>
            </w:tcBorders>
          </w:tcPr>
          <w:p w14:paraId="3BA5596A">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Me</w:t>
            </w:r>
          </w:p>
        </w:tc>
        <w:tc>
          <w:tcPr>
            <w:tcW w:w="603" w:type="dxa"/>
            <w:tcBorders>
              <w:top w:val="outset" w:color="auto" w:sz="6" w:space="0"/>
              <w:left w:val="outset" w:color="auto" w:sz="6" w:space="0"/>
              <w:bottom w:val="outset" w:color="auto" w:sz="6" w:space="0"/>
              <w:right w:val="outset" w:color="auto" w:sz="6" w:space="0"/>
            </w:tcBorders>
          </w:tcPr>
          <w:p w14:paraId="516400B6">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Q1</w:t>
            </w:r>
          </w:p>
        </w:tc>
        <w:tc>
          <w:tcPr>
            <w:tcW w:w="608" w:type="dxa"/>
            <w:tcBorders>
              <w:top w:val="outset" w:color="auto" w:sz="6" w:space="0"/>
              <w:left w:val="outset" w:color="auto" w:sz="6" w:space="0"/>
              <w:bottom w:val="outset" w:color="auto" w:sz="6" w:space="0"/>
              <w:right w:val="outset" w:color="auto" w:sz="6" w:space="0"/>
            </w:tcBorders>
          </w:tcPr>
          <w:p w14:paraId="047C31B8">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Q3</w:t>
            </w:r>
          </w:p>
        </w:tc>
        <w:tc>
          <w:tcPr>
            <w:tcW w:w="986" w:type="dxa"/>
            <w:vMerge w:val="continue"/>
            <w:tcBorders>
              <w:left w:val="outset" w:color="auto" w:sz="6" w:space="0"/>
              <w:bottom w:val="outset" w:color="auto" w:sz="6" w:space="0"/>
              <w:right w:val="outset" w:color="auto" w:sz="6" w:space="0"/>
            </w:tcBorders>
          </w:tcPr>
          <w:p w14:paraId="2B8C0D07">
            <w:pPr>
              <w:widowControl w:val="0"/>
              <w:autoSpaceDE w:val="0"/>
              <w:autoSpaceDN w:val="0"/>
              <w:spacing w:after="0" w:line="276" w:lineRule="auto"/>
              <w:jc w:val="both"/>
              <w:outlineLvl w:val="0"/>
              <w:rPr>
                <w:rFonts w:ascii="Times New Roman" w:hAnsi="Times New Roman" w:eastAsia="Times New Roman" w:cs="Times New Roman"/>
                <w:sz w:val="28"/>
                <w:szCs w:val="28"/>
              </w:rPr>
            </w:pPr>
          </w:p>
        </w:tc>
        <w:tc>
          <w:tcPr>
            <w:tcW w:w="607" w:type="dxa"/>
            <w:vMerge w:val="continue"/>
            <w:tcBorders>
              <w:left w:val="outset" w:color="auto" w:sz="6" w:space="0"/>
              <w:bottom w:val="outset" w:color="auto" w:sz="6" w:space="0"/>
              <w:right w:val="outset" w:color="auto" w:sz="6" w:space="0"/>
            </w:tcBorders>
          </w:tcPr>
          <w:p w14:paraId="36DC8D53">
            <w:pPr>
              <w:widowControl w:val="0"/>
              <w:autoSpaceDE w:val="0"/>
              <w:autoSpaceDN w:val="0"/>
              <w:spacing w:after="0" w:line="276" w:lineRule="auto"/>
              <w:jc w:val="both"/>
              <w:outlineLvl w:val="0"/>
              <w:rPr>
                <w:rFonts w:ascii="Times New Roman" w:hAnsi="Times New Roman" w:eastAsia="Times New Roman" w:cs="Times New Roman"/>
                <w:sz w:val="28"/>
                <w:szCs w:val="28"/>
              </w:rPr>
            </w:pPr>
          </w:p>
        </w:tc>
      </w:tr>
      <w:tr w14:paraId="02653CD8">
        <w:tblPrEx>
          <w:tblCellMar>
            <w:top w:w="15" w:type="dxa"/>
            <w:left w:w="15" w:type="dxa"/>
            <w:bottom w:w="15" w:type="dxa"/>
            <w:right w:w="15" w:type="dxa"/>
          </w:tblCellMar>
        </w:tblPrEx>
        <w:trPr>
          <w:trHeight w:val="1057" w:hRule="atLeast"/>
        </w:trPr>
        <w:tc>
          <w:tcPr>
            <w:tcW w:w="839" w:type="dxa"/>
            <w:tcBorders>
              <w:top w:val="nil"/>
              <w:left w:val="outset" w:color="auto" w:sz="6" w:space="0"/>
              <w:bottom w:val="outset" w:color="auto" w:sz="6" w:space="0"/>
              <w:right w:val="outset" w:color="auto" w:sz="6" w:space="0"/>
            </w:tcBorders>
          </w:tcPr>
          <w:p w14:paraId="4E8D5B2B">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Гепсидин</w:t>
            </w:r>
          </w:p>
        </w:tc>
        <w:tc>
          <w:tcPr>
            <w:tcW w:w="537" w:type="dxa"/>
            <w:tcBorders>
              <w:top w:val="nil"/>
              <w:left w:val="outset" w:color="auto" w:sz="6" w:space="0"/>
              <w:bottom w:val="outset" w:color="auto" w:sz="6" w:space="0"/>
              <w:right w:val="outset" w:color="auto" w:sz="6" w:space="0"/>
            </w:tcBorders>
          </w:tcPr>
          <w:p w14:paraId="1FEF67A6">
            <w:pPr>
              <w:widowControl w:val="0"/>
              <w:autoSpaceDE w:val="0"/>
              <w:autoSpaceDN w:val="0"/>
              <w:spacing w:after="0" w:line="276" w:lineRule="auto"/>
              <w:jc w:val="both"/>
              <w:outlineLvl w:val="0"/>
              <w:rPr>
                <w:rFonts w:ascii="Times New Roman" w:hAnsi="Times New Roman" w:eastAsia="Times New Roman" w:cs="Times New Roman"/>
                <w:i/>
                <w:sz w:val="28"/>
                <w:szCs w:val="28"/>
              </w:rPr>
            </w:pPr>
            <w:r>
              <w:rPr>
                <w:rFonts w:ascii="Times New Roman" w:hAnsi="Times New Roman" w:eastAsia="Times New Roman" w:cs="Times New Roman"/>
                <w:i/>
                <w:sz w:val="28"/>
                <w:szCs w:val="28"/>
              </w:rPr>
              <w:t>568,01</w:t>
            </w:r>
          </w:p>
        </w:tc>
        <w:tc>
          <w:tcPr>
            <w:tcW w:w="537" w:type="dxa"/>
            <w:tcBorders>
              <w:top w:val="nil"/>
              <w:left w:val="outset" w:color="auto" w:sz="6" w:space="0"/>
              <w:bottom w:val="outset" w:color="auto" w:sz="6" w:space="0"/>
              <w:right w:val="outset" w:color="auto" w:sz="6" w:space="0"/>
            </w:tcBorders>
          </w:tcPr>
          <w:p w14:paraId="3E681BC7">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314,35</w:t>
            </w:r>
          </w:p>
        </w:tc>
        <w:tc>
          <w:tcPr>
            <w:tcW w:w="537" w:type="dxa"/>
            <w:tcBorders>
              <w:top w:val="nil"/>
              <w:left w:val="outset" w:color="auto" w:sz="6" w:space="0"/>
              <w:bottom w:val="outset" w:color="auto" w:sz="6" w:space="0"/>
              <w:right w:val="outset" w:color="auto" w:sz="6" w:space="0"/>
            </w:tcBorders>
          </w:tcPr>
          <w:p w14:paraId="3AFE7E48">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688,43</w:t>
            </w:r>
          </w:p>
        </w:tc>
        <w:tc>
          <w:tcPr>
            <w:tcW w:w="603" w:type="dxa"/>
            <w:tcBorders>
              <w:top w:val="nil"/>
              <w:left w:val="outset" w:color="auto" w:sz="6" w:space="0"/>
              <w:bottom w:val="outset" w:color="auto" w:sz="6" w:space="0"/>
              <w:right w:val="outset" w:color="auto" w:sz="6" w:space="0"/>
            </w:tcBorders>
          </w:tcPr>
          <w:p w14:paraId="503F5397">
            <w:pPr>
              <w:widowControl w:val="0"/>
              <w:autoSpaceDE w:val="0"/>
              <w:autoSpaceDN w:val="0"/>
              <w:spacing w:after="0" w:line="276" w:lineRule="auto"/>
              <w:jc w:val="both"/>
              <w:outlineLvl w:val="0"/>
              <w:rPr>
                <w:rFonts w:ascii="Times New Roman" w:hAnsi="Times New Roman" w:eastAsia="Times New Roman" w:cs="Times New Roman"/>
                <w:i/>
                <w:sz w:val="28"/>
                <w:szCs w:val="28"/>
              </w:rPr>
            </w:pPr>
            <w:r>
              <w:rPr>
                <w:rFonts w:ascii="Times New Roman" w:hAnsi="Times New Roman" w:eastAsia="Times New Roman" w:cs="Times New Roman"/>
                <w:i/>
                <w:sz w:val="28"/>
                <w:szCs w:val="28"/>
              </w:rPr>
              <w:t>1537,01</w:t>
            </w:r>
          </w:p>
        </w:tc>
        <w:tc>
          <w:tcPr>
            <w:tcW w:w="603" w:type="dxa"/>
            <w:tcBorders>
              <w:top w:val="nil"/>
              <w:left w:val="outset" w:color="auto" w:sz="6" w:space="0"/>
              <w:bottom w:val="outset" w:color="auto" w:sz="6" w:space="0"/>
              <w:right w:val="outset" w:color="auto" w:sz="6" w:space="0"/>
            </w:tcBorders>
          </w:tcPr>
          <w:p w14:paraId="2876B3FB">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1355,99</w:t>
            </w:r>
          </w:p>
        </w:tc>
        <w:tc>
          <w:tcPr>
            <w:tcW w:w="605" w:type="dxa"/>
            <w:tcBorders>
              <w:top w:val="nil"/>
              <w:left w:val="outset" w:color="auto" w:sz="6" w:space="0"/>
              <w:bottom w:val="outset" w:color="auto" w:sz="6" w:space="0"/>
              <w:right w:val="outset" w:color="auto" w:sz="6" w:space="0"/>
            </w:tcBorders>
          </w:tcPr>
          <w:p w14:paraId="6CE35BC7">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1956,28 </w:t>
            </w:r>
          </w:p>
        </w:tc>
        <w:tc>
          <w:tcPr>
            <w:tcW w:w="472" w:type="dxa"/>
            <w:tcBorders>
              <w:top w:val="nil"/>
              <w:left w:val="outset" w:color="auto" w:sz="6" w:space="0"/>
              <w:bottom w:val="outset" w:color="auto" w:sz="6" w:space="0"/>
              <w:right w:val="outset" w:color="auto" w:sz="6" w:space="0"/>
            </w:tcBorders>
          </w:tcPr>
          <w:p w14:paraId="6944D8F4">
            <w:pPr>
              <w:widowControl w:val="0"/>
              <w:autoSpaceDE w:val="0"/>
              <w:autoSpaceDN w:val="0"/>
              <w:spacing w:after="0" w:line="276" w:lineRule="auto"/>
              <w:jc w:val="both"/>
              <w:outlineLvl w:val="0"/>
              <w:rPr>
                <w:rFonts w:ascii="Times New Roman" w:hAnsi="Times New Roman" w:eastAsia="Times New Roman" w:cs="Times New Roman"/>
                <w:i/>
                <w:sz w:val="28"/>
                <w:szCs w:val="28"/>
              </w:rPr>
            </w:pPr>
            <w:r>
              <w:rPr>
                <w:rFonts w:ascii="Times New Roman" w:hAnsi="Times New Roman" w:eastAsia="Times New Roman" w:cs="Times New Roman"/>
                <w:i/>
                <w:sz w:val="28"/>
                <w:szCs w:val="28"/>
              </w:rPr>
              <w:t>1442,  83</w:t>
            </w:r>
          </w:p>
        </w:tc>
        <w:tc>
          <w:tcPr>
            <w:tcW w:w="603" w:type="dxa"/>
            <w:tcBorders>
              <w:top w:val="nil"/>
              <w:left w:val="outset" w:color="auto" w:sz="6" w:space="0"/>
              <w:bottom w:val="outset" w:color="auto" w:sz="6" w:space="0"/>
              <w:right w:val="outset" w:color="auto" w:sz="6" w:space="0"/>
            </w:tcBorders>
          </w:tcPr>
          <w:p w14:paraId="1143E5A1">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1090,36</w:t>
            </w:r>
          </w:p>
        </w:tc>
        <w:tc>
          <w:tcPr>
            <w:tcW w:w="605" w:type="dxa"/>
            <w:tcBorders>
              <w:top w:val="nil"/>
              <w:left w:val="outset" w:color="auto" w:sz="6" w:space="0"/>
              <w:bottom w:val="outset" w:color="auto" w:sz="6" w:space="0"/>
              <w:right w:val="outset" w:color="auto" w:sz="6" w:space="0"/>
            </w:tcBorders>
          </w:tcPr>
          <w:p w14:paraId="74CD14EC">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1751,31</w:t>
            </w:r>
          </w:p>
        </w:tc>
        <w:tc>
          <w:tcPr>
            <w:tcW w:w="603" w:type="dxa"/>
            <w:tcBorders>
              <w:top w:val="nil"/>
              <w:left w:val="outset" w:color="auto" w:sz="6" w:space="0"/>
              <w:bottom w:val="outset" w:color="auto" w:sz="6" w:space="0"/>
              <w:right w:val="outset" w:color="auto" w:sz="6" w:space="0"/>
            </w:tcBorders>
          </w:tcPr>
          <w:p w14:paraId="7AA88DDA">
            <w:pPr>
              <w:widowControl w:val="0"/>
              <w:autoSpaceDE w:val="0"/>
              <w:autoSpaceDN w:val="0"/>
              <w:spacing w:after="0" w:line="276" w:lineRule="auto"/>
              <w:jc w:val="both"/>
              <w:outlineLvl w:val="0"/>
              <w:rPr>
                <w:rFonts w:ascii="Times New Roman" w:hAnsi="Times New Roman" w:eastAsia="Times New Roman" w:cs="Times New Roman"/>
                <w:i/>
                <w:sz w:val="28"/>
                <w:szCs w:val="28"/>
              </w:rPr>
            </w:pPr>
            <w:r>
              <w:rPr>
                <w:rFonts w:ascii="Times New Roman" w:hAnsi="Times New Roman" w:eastAsia="Times New Roman" w:cs="Times New Roman"/>
                <w:i/>
                <w:sz w:val="28"/>
                <w:szCs w:val="28"/>
              </w:rPr>
              <w:t>1786,59</w:t>
            </w:r>
          </w:p>
        </w:tc>
        <w:tc>
          <w:tcPr>
            <w:tcW w:w="603" w:type="dxa"/>
            <w:tcBorders>
              <w:top w:val="nil"/>
              <w:left w:val="outset" w:color="auto" w:sz="6" w:space="0"/>
              <w:bottom w:val="outset" w:color="auto" w:sz="6" w:space="0"/>
              <w:right w:val="outset" w:color="auto" w:sz="6" w:space="0"/>
            </w:tcBorders>
          </w:tcPr>
          <w:p w14:paraId="2F56E898">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1510,64</w:t>
            </w:r>
          </w:p>
        </w:tc>
        <w:tc>
          <w:tcPr>
            <w:tcW w:w="608" w:type="dxa"/>
            <w:tcBorders>
              <w:top w:val="nil"/>
              <w:left w:val="outset" w:color="auto" w:sz="6" w:space="0"/>
              <w:bottom w:val="outset" w:color="auto" w:sz="6" w:space="0"/>
              <w:right w:val="outset" w:color="auto" w:sz="6" w:space="0"/>
            </w:tcBorders>
          </w:tcPr>
          <w:p w14:paraId="3425E78F">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1940,43</w:t>
            </w:r>
          </w:p>
        </w:tc>
        <w:tc>
          <w:tcPr>
            <w:tcW w:w="986" w:type="dxa"/>
            <w:tcBorders>
              <w:top w:val="nil"/>
              <w:left w:val="outset" w:color="auto" w:sz="6" w:space="0"/>
              <w:bottom w:val="outset" w:color="auto" w:sz="6" w:space="0"/>
              <w:right w:val="outset" w:color="auto" w:sz="6" w:space="0"/>
            </w:tcBorders>
          </w:tcPr>
          <w:p w14:paraId="2D3138B6">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1,901</w:t>
            </w:r>
          </w:p>
        </w:tc>
        <w:tc>
          <w:tcPr>
            <w:tcW w:w="607" w:type="dxa"/>
            <w:tcBorders>
              <w:top w:val="nil"/>
              <w:left w:val="outset" w:color="auto" w:sz="6" w:space="0"/>
              <w:bottom w:val="outset" w:color="auto" w:sz="6" w:space="0"/>
              <w:right w:val="outset" w:color="auto" w:sz="6" w:space="0"/>
            </w:tcBorders>
          </w:tcPr>
          <w:p w14:paraId="545956D6">
            <w:pPr>
              <w:widowControl w:val="0"/>
              <w:autoSpaceDE w:val="0"/>
              <w:autoSpaceDN w:val="0"/>
              <w:spacing w:after="0" w:line="276" w:lineRule="auto"/>
              <w:jc w:val="both"/>
              <w:outlineLvl w:val="0"/>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Pr>
              <w:t>0,010</w:t>
            </w:r>
            <w:r>
              <w:rPr>
                <w:rFonts w:ascii="Times New Roman" w:hAnsi="Times New Roman" w:eastAsia="Times New Roman" w:cs="Times New Roman"/>
                <w:b/>
                <w:i/>
                <w:sz w:val="28"/>
                <w:szCs w:val="28"/>
              </w:rPr>
              <w:t>*</w:t>
            </w:r>
          </w:p>
        </w:tc>
      </w:tr>
      <w:tr w14:paraId="1EC0E024">
        <w:tblPrEx>
          <w:tblCellMar>
            <w:top w:w="15" w:type="dxa"/>
            <w:left w:w="15" w:type="dxa"/>
            <w:bottom w:w="15" w:type="dxa"/>
            <w:right w:w="15" w:type="dxa"/>
          </w:tblCellMar>
        </w:tblPrEx>
        <w:trPr>
          <w:trHeight w:val="719" w:hRule="atLeast"/>
        </w:trPr>
        <w:tc>
          <w:tcPr>
            <w:tcW w:w="839" w:type="dxa"/>
            <w:tcBorders>
              <w:top w:val="nil"/>
              <w:left w:val="outset" w:color="auto" w:sz="6" w:space="0"/>
              <w:bottom w:val="outset" w:color="auto" w:sz="6" w:space="0"/>
              <w:right w:val="outset" w:color="auto" w:sz="6" w:space="0"/>
            </w:tcBorders>
          </w:tcPr>
          <w:p w14:paraId="00DBC991">
            <w:pPr>
              <w:widowControl w:val="0"/>
              <w:autoSpaceDE w:val="0"/>
              <w:autoSpaceDN w:val="0"/>
              <w:spacing w:after="0" w:line="276" w:lineRule="auto"/>
              <w:jc w:val="both"/>
              <w:outlineLvl w:val="0"/>
              <w:rPr>
                <w:rFonts w:ascii="Times New Roman" w:hAnsi="Times New Roman" w:eastAsia="Times New Roman" w:cs="Times New Roman"/>
                <w:sz w:val="28"/>
                <w:szCs w:val="28"/>
                <w:lang w:val="kk-KZ"/>
              </w:rPr>
            </w:pPr>
            <w:r>
              <w:rPr>
                <w:rFonts w:ascii="Times New Roman" w:hAnsi="Times New Roman" w:eastAsia="Times New Roman" w:cs="Times New Roman"/>
                <w:sz w:val="28"/>
                <w:szCs w:val="28"/>
                <w:lang w:val="kk-KZ"/>
              </w:rPr>
              <w:t>Эритропоэтин</w:t>
            </w:r>
          </w:p>
        </w:tc>
        <w:tc>
          <w:tcPr>
            <w:tcW w:w="537" w:type="dxa"/>
            <w:tcBorders>
              <w:top w:val="nil"/>
              <w:left w:val="outset" w:color="auto" w:sz="6" w:space="0"/>
              <w:bottom w:val="outset" w:color="auto" w:sz="6" w:space="0"/>
              <w:right w:val="outset" w:color="auto" w:sz="6" w:space="0"/>
            </w:tcBorders>
          </w:tcPr>
          <w:p w14:paraId="0AD081C5">
            <w:pPr>
              <w:widowControl w:val="0"/>
              <w:autoSpaceDE w:val="0"/>
              <w:autoSpaceDN w:val="0"/>
              <w:spacing w:after="0" w:line="276" w:lineRule="auto"/>
              <w:jc w:val="both"/>
              <w:outlineLvl w:val="0"/>
              <w:rPr>
                <w:rFonts w:ascii="Times New Roman" w:hAnsi="Times New Roman" w:eastAsia="Times New Roman" w:cs="Times New Roman"/>
                <w:i/>
                <w:sz w:val="28"/>
                <w:szCs w:val="28"/>
              </w:rPr>
            </w:pPr>
            <w:r>
              <w:rPr>
                <w:rFonts w:ascii="Times New Roman" w:hAnsi="Times New Roman" w:eastAsia="Times New Roman" w:cs="Times New Roman"/>
                <w:i/>
                <w:sz w:val="28"/>
                <w:szCs w:val="28"/>
              </w:rPr>
              <w:t>81,28</w:t>
            </w:r>
          </w:p>
        </w:tc>
        <w:tc>
          <w:tcPr>
            <w:tcW w:w="537" w:type="dxa"/>
            <w:tcBorders>
              <w:top w:val="nil"/>
              <w:left w:val="outset" w:color="auto" w:sz="6" w:space="0"/>
              <w:bottom w:val="outset" w:color="auto" w:sz="6" w:space="0"/>
              <w:right w:val="outset" w:color="auto" w:sz="6" w:space="0"/>
            </w:tcBorders>
          </w:tcPr>
          <w:p w14:paraId="7C0F0E9D">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51,77</w:t>
            </w:r>
          </w:p>
        </w:tc>
        <w:tc>
          <w:tcPr>
            <w:tcW w:w="537" w:type="dxa"/>
            <w:tcBorders>
              <w:top w:val="nil"/>
              <w:left w:val="outset" w:color="auto" w:sz="6" w:space="0"/>
              <w:bottom w:val="outset" w:color="auto" w:sz="6" w:space="0"/>
              <w:right w:val="outset" w:color="auto" w:sz="6" w:space="0"/>
            </w:tcBorders>
          </w:tcPr>
          <w:p w14:paraId="68B0A8FB">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112,10</w:t>
            </w:r>
          </w:p>
        </w:tc>
        <w:tc>
          <w:tcPr>
            <w:tcW w:w="603" w:type="dxa"/>
            <w:tcBorders>
              <w:top w:val="nil"/>
              <w:left w:val="outset" w:color="auto" w:sz="6" w:space="0"/>
              <w:bottom w:val="outset" w:color="auto" w:sz="6" w:space="0"/>
              <w:right w:val="outset" w:color="auto" w:sz="6" w:space="0"/>
            </w:tcBorders>
          </w:tcPr>
          <w:p w14:paraId="5C4F92A7">
            <w:pPr>
              <w:widowControl w:val="0"/>
              <w:autoSpaceDE w:val="0"/>
              <w:autoSpaceDN w:val="0"/>
              <w:spacing w:after="0" w:line="276" w:lineRule="auto"/>
              <w:jc w:val="both"/>
              <w:outlineLvl w:val="0"/>
              <w:rPr>
                <w:rFonts w:ascii="Times New Roman" w:hAnsi="Times New Roman" w:eastAsia="Times New Roman" w:cs="Times New Roman"/>
                <w:i/>
                <w:sz w:val="28"/>
                <w:szCs w:val="28"/>
              </w:rPr>
            </w:pPr>
            <w:r>
              <w:rPr>
                <w:rFonts w:ascii="Times New Roman" w:hAnsi="Times New Roman" w:eastAsia="Times New Roman" w:cs="Times New Roman"/>
                <w:i/>
                <w:sz w:val="28"/>
                <w:szCs w:val="28"/>
              </w:rPr>
              <w:t>71,89</w:t>
            </w:r>
          </w:p>
        </w:tc>
        <w:tc>
          <w:tcPr>
            <w:tcW w:w="603" w:type="dxa"/>
            <w:tcBorders>
              <w:top w:val="nil"/>
              <w:left w:val="outset" w:color="auto" w:sz="6" w:space="0"/>
              <w:bottom w:val="outset" w:color="auto" w:sz="6" w:space="0"/>
              <w:right w:val="outset" w:color="auto" w:sz="6" w:space="0"/>
            </w:tcBorders>
          </w:tcPr>
          <w:p w14:paraId="73B9F8F7">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30,47</w:t>
            </w:r>
          </w:p>
        </w:tc>
        <w:tc>
          <w:tcPr>
            <w:tcW w:w="605" w:type="dxa"/>
            <w:tcBorders>
              <w:top w:val="nil"/>
              <w:left w:val="outset" w:color="auto" w:sz="6" w:space="0"/>
              <w:bottom w:val="outset" w:color="auto" w:sz="6" w:space="0"/>
              <w:right w:val="outset" w:color="auto" w:sz="6" w:space="0"/>
            </w:tcBorders>
          </w:tcPr>
          <w:p w14:paraId="409115F0">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105,86</w:t>
            </w:r>
          </w:p>
        </w:tc>
        <w:tc>
          <w:tcPr>
            <w:tcW w:w="472" w:type="dxa"/>
            <w:tcBorders>
              <w:top w:val="nil"/>
              <w:left w:val="outset" w:color="auto" w:sz="6" w:space="0"/>
              <w:bottom w:val="outset" w:color="auto" w:sz="6" w:space="0"/>
              <w:right w:val="outset" w:color="auto" w:sz="6" w:space="0"/>
            </w:tcBorders>
          </w:tcPr>
          <w:p w14:paraId="19037BEB">
            <w:pPr>
              <w:widowControl w:val="0"/>
              <w:autoSpaceDE w:val="0"/>
              <w:autoSpaceDN w:val="0"/>
              <w:spacing w:after="0" w:line="276" w:lineRule="auto"/>
              <w:jc w:val="both"/>
              <w:outlineLvl w:val="0"/>
              <w:rPr>
                <w:rFonts w:ascii="Times New Roman" w:hAnsi="Times New Roman" w:eastAsia="Times New Roman" w:cs="Times New Roman"/>
                <w:i/>
                <w:sz w:val="28"/>
                <w:szCs w:val="28"/>
              </w:rPr>
            </w:pPr>
            <w:r>
              <w:rPr>
                <w:rFonts w:ascii="Times New Roman" w:hAnsi="Times New Roman" w:eastAsia="Times New Roman" w:cs="Times New Roman"/>
                <w:i/>
                <w:sz w:val="28"/>
                <w:szCs w:val="28"/>
              </w:rPr>
              <w:t>62,99</w:t>
            </w:r>
          </w:p>
        </w:tc>
        <w:tc>
          <w:tcPr>
            <w:tcW w:w="603" w:type="dxa"/>
            <w:tcBorders>
              <w:top w:val="nil"/>
              <w:left w:val="outset" w:color="auto" w:sz="6" w:space="0"/>
              <w:bottom w:val="outset" w:color="auto" w:sz="6" w:space="0"/>
              <w:right w:val="outset" w:color="auto" w:sz="6" w:space="0"/>
            </w:tcBorders>
          </w:tcPr>
          <w:p w14:paraId="35B5B725">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30,11</w:t>
            </w:r>
          </w:p>
        </w:tc>
        <w:tc>
          <w:tcPr>
            <w:tcW w:w="605" w:type="dxa"/>
            <w:tcBorders>
              <w:top w:val="nil"/>
              <w:left w:val="outset" w:color="auto" w:sz="6" w:space="0"/>
              <w:bottom w:val="outset" w:color="auto" w:sz="6" w:space="0"/>
              <w:right w:val="outset" w:color="auto" w:sz="6" w:space="0"/>
            </w:tcBorders>
          </w:tcPr>
          <w:p w14:paraId="173FD8F1">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78,74</w:t>
            </w:r>
          </w:p>
        </w:tc>
        <w:tc>
          <w:tcPr>
            <w:tcW w:w="603" w:type="dxa"/>
            <w:tcBorders>
              <w:top w:val="nil"/>
              <w:left w:val="outset" w:color="auto" w:sz="6" w:space="0"/>
              <w:bottom w:val="outset" w:color="auto" w:sz="6" w:space="0"/>
              <w:right w:val="outset" w:color="auto" w:sz="6" w:space="0"/>
            </w:tcBorders>
          </w:tcPr>
          <w:p w14:paraId="07724881">
            <w:pPr>
              <w:widowControl w:val="0"/>
              <w:autoSpaceDE w:val="0"/>
              <w:autoSpaceDN w:val="0"/>
              <w:spacing w:after="0" w:line="276" w:lineRule="auto"/>
              <w:jc w:val="both"/>
              <w:outlineLvl w:val="0"/>
              <w:rPr>
                <w:rFonts w:ascii="Times New Roman" w:hAnsi="Times New Roman" w:eastAsia="Times New Roman" w:cs="Times New Roman"/>
                <w:i/>
                <w:sz w:val="28"/>
                <w:szCs w:val="28"/>
              </w:rPr>
            </w:pPr>
            <w:r>
              <w:rPr>
                <w:rFonts w:ascii="Times New Roman" w:hAnsi="Times New Roman" w:eastAsia="Times New Roman" w:cs="Times New Roman"/>
                <w:i/>
                <w:sz w:val="28"/>
                <w:szCs w:val="28"/>
              </w:rPr>
              <w:t>51,04</w:t>
            </w:r>
          </w:p>
        </w:tc>
        <w:tc>
          <w:tcPr>
            <w:tcW w:w="603" w:type="dxa"/>
            <w:tcBorders>
              <w:top w:val="nil"/>
              <w:left w:val="outset" w:color="auto" w:sz="6" w:space="0"/>
              <w:bottom w:val="outset" w:color="auto" w:sz="6" w:space="0"/>
              <w:right w:val="outset" w:color="auto" w:sz="6" w:space="0"/>
            </w:tcBorders>
          </w:tcPr>
          <w:p w14:paraId="4654441F">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30,87</w:t>
            </w:r>
          </w:p>
        </w:tc>
        <w:tc>
          <w:tcPr>
            <w:tcW w:w="608" w:type="dxa"/>
            <w:tcBorders>
              <w:top w:val="nil"/>
              <w:left w:val="outset" w:color="auto" w:sz="6" w:space="0"/>
              <w:bottom w:val="outset" w:color="auto" w:sz="6" w:space="0"/>
              <w:right w:val="outset" w:color="auto" w:sz="6" w:space="0"/>
            </w:tcBorders>
          </w:tcPr>
          <w:p w14:paraId="29C62923">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110,92</w:t>
            </w:r>
          </w:p>
        </w:tc>
        <w:tc>
          <w:tcPr>
            <w:tcW w:w="986" w:type="dxa"/>
            <w:tcBorders>
              <w:top w:val="nil"/>
              <w:left w:val="outset" w:color="auto" w:sz="6" w:space="0"/>
              <w:bottom w:val="outset" w:color="auto" w:sz="6" w:space="0"/>
              <w:right w:val="outset" w:color="auto" w:sz="6" w:space="0"/>
            </w:tcBorders>
          </w:tcPr>
          <w:p w14:paraId="3224EF52">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5,967</w:t>
            </w:r>
          </w:p>
        </w:tc>
        <w:tc>
          <w:tcPr>
            <w:tcW w:w="607" w:type="dxa"/>
            <w:tcBorders>
              <w:top w:val="nil"/>
              <w:left w:val="outset" w:color="auto" w:sz="6" w:space="0"/>
              <w:bottom w:val="outset" w:color="auto" w:sz="6" w:space="0"/>
              <w:right w:val="outset" w:color="auto" w:sz="6" w:space="0"/>
            </w:tcBorders>
          </w:tcPr>
          <w:p w14:paraId="4DFDDAD4">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0,1132</w:t>
            </w:r>
          </w:p>
        </w:tc>
      </w:tr>
      <w:tr w14:paraId="0ECE4AF1">
        <w:tblPrEx>
          <w:tblCellMar>
            <w:top w:w="15" w:type="dxa"/>
            <w:left w:w="15" w:type="dxa"/>
            <w:bottom w:w="15" w:type="dxa"/>
            <w:right w:w="15" w:type="dxa"/>
          </w:tblCellMar>
        </w:tblPrEx>
        <w:trPr>
          <w:trHeight w:val="698" w:hRule="atLeast"/>
        </w:trPr>
        <w:tc>
          <w:tcPr>
            <w:tcW w:w="839" w:type="dxa"/>
            <w:tcBorders>
              <w:top w:val="nil"/>
              <w:left w:val="outset" w:color="auto" w:sz="6" w:space="0"/>
              <w:bottom w:val="outset" w:color="auto" w:sz="6" w:space="0"/>
              <w:right w:val="outset" w:color="auto" w:sz="6" w:space="0"/>
            </w:tcBorders>
          </w:tcPr>
          <w:p w14:paraId="686398D9">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Ферритин</w:t>
            </w:r>
          </w:p>
        </w:tc>
        <w:tc>
          <w:tcPr>
            <w:tcW w:w="537" w:type="dxa"/>
            <w:tcBorders>
              <w:top w:val="nil"/>
              <w:left w:val="outset" w:color="auto" w:sz="6" w:space="0"/>
              <w:bottom w:val="outset" w:color="auto" w:sz="6" w:space="0"/>
              <w:right w:val="outset" w:color="auto" w:sz="6" w:space="0"/>
            </w:tcBorders>
          </w:tcPr>
          <w:p w14:paraId="4FEB9985">
            <w:pPr>
              <w:widowControl w:val="0"/>
              <w:autoSpaceDE w:val="0"/>
              <w:autoSpaceDN w:val="0"/>
              <w:spacing w:after="0" w:line="276" w:lineRule="auto"/>
              <w:jc w:val="both"/>
              <w:outlineLvl w:val="0"/>
              <w:rPr>
                <w:rFonts w:ascii="Times New Roman" w:hAnsi="Times New Roman" w:eastAsia="Times New Roman" w:cs="Times New Roman"/>
                <w:i/>
                <w:sz w:val="28"/>
                <w:szCs w:val="28"/>
              </w:rPr>
            </w:pPr>
            <w:r>
              <w:rPr>
                <w:rFonts w:ascii="Times New Roman" w:hAnsi="Times New Roman" w:eastAsia="Times New Roman" w:cs="Times New Roman"/>
                <w:i/>
                <w:sz w:val="28"/>
                <w:szCs w:val="28"/>
              </w:rPr>
              <w:t>19,65</w:t>
            </w:r>
          </w:p>
        </w:tc>
        <w:tc>
          <w:tcPr>
            <w:tcW w:w="537" w:type="dxa"/>
            <w:tcBorders>
              <w:top w:val="nil"/>
              <w:left w:val="outset" w:color="auto" w:sz="6" w:space="0"/>
              <w:bottom w:val="outset" w:color="auto" w:sz="6" w:space="0"/>
              <w:right w:val="outset" w:color="auto" w:sz="6" w:space="0"/>
            </w:tcBorders>
          </w:tcPr>
          <w:p w14:paraId="1C6D513F">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17,61</w:t>
            </w:r>
          </w:p>
        </w:tc>
        <w:tc>
          <w:tcPr>
            <w:tcW w:w="537" w:type="dxa"/>
            <w:tcBorders>
              <w:top w:val="nil"/>
              <w:left w:val="outset" w:color="auto" w:sz="6" w:space="0"/>
              <w:bottom w:val="outset" w:color="auto" w:sz="6" w:space="0"/>
              <w:right w:val="outset" w:color="auto" w:sz="6" w:space="0"/>
            </w:tcBorders>
          </w:tcPr>
          <w:p w14:paraId="28D28DC5">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32,81</w:t>
            </w:r>
          </w:p>
        </w:tc>
        <w:tc>
          <w:tcPr>
            <w:tcW w:w="603" w:type="dxa"/>
            <w:tcBorders>
              <w:top w:val="nil"/>
              <w:left w:val="outset" w:color="auto" w:sz="6" w:space="0"/>
              <w:bottom w:val="outset" w:color="auto" w:sz="6" w:space="0"/>
              <w:right w:val="outset" w:color="auto" w:sz="6" w:space="0"/>
            </w:tcBorders>
          </w:tcPr>
          <w:p w14:paraId="309574AA">
            <w:pPr>
              <w:widowControl w:val="0"/>
              <w:autoSpaceDE w:val="0"/>
              <w:autoSpaceDN w:val="0"/>
              <w:spacing w:after="0" w:line="276" w:lineRule="auto"/>
              <w:jc w:val="both"/>
              <w:outlineLvl w:val="0"/>
              <w:rPr>
                <w:rFonts w:ascii="Times New Roman" w:hAnsi="Times New Roman" w:eastAsia="Times New Roman" w:cs="Times New Roman"/>
                <w:i/>
                <w:sz w:val="28"/>
                <w:szCs w:val="28"/>
              </w:rPr>
            </w:pPr>
            <w:r>
              <w:rPr>
                <w:rFonts w:ascii="Times New Roman" w:hAnsi="Times New Roman" w:eastAsia="Times New Roman" w:cs="Times New Roman"/>
                <w:i/>
                <w:sz w:val="28"/>
                <w:szCs w:val="28"/>
              </w:rPr>
              <w:t>11,82</w:t>
            </w:r>
          </w:p>
        </w:tc>
        <w:tc>
          <w:tcPr>
            <w:tcW w:w="603" w:type="dxa"/>
            <w:tcBorders>
              <w:top w:val="nil"/>
              <w:left w:val="outset" w:color="auto" w:sz="6" w:space="0"/>
              <w:bottom w:val="outset" w:color="auto" w:sz="6" w:space="0"/>
              <w:right w:val="outset" w:color="auto" w:sz="6" w:space="0"/>
            </w:tcBorders>
          </w:tcPr>
          <w:p w14:paraId="70A97D24">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9,00</w:t>
            </w:r>
          </w:p>
        </w:tc>
        <w:tc>
          <w:tcPr>
            <w:tcW w:w="605" w:type="dxa"/>
            <w:tcBorders>
              <w:top w:val="nil"/>
              <w:left w:val="outset" w:color="auto" w:sz="6" w:space="0"/>
              <w:bottom w:val="outset" w:color="auto" w:sz="6" w:space="0"/>
              <w:right w:val="outset" w:color="auto" w:sz="6" w:space="0"/>
            </w:tcBorders>
          </w:tcPr>
          <w:p w14:paraId="3132B0AF">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13,60</w:t>
            </w:r>
          </w:p>
        </w:tc>
        <w:tc>
          <w:tcPr>
            <w:tcW w:w="472" w:type="dxa"/>
            <w:tcBorders>
              <w:top w:val="nil"/>
              <w:left w:val="outset" w:color="auto" w:sz="6" w:space="0"/>
              <w:bottom w:val="outset" w:color="auto" w:sz="6" w:space="0"/>
              <w:right w:val="outset" w:color="auto" w:sz="6" w:space="0"/>
            </w:tcBorders>
          </w:tcPr>
          <w:p w14:paraId="00B104EA">
            <w:pPr>
              <w:widowControl w:val="0"/>
              <w:autoSpaceDE w:val="0"/>
              <w:autoSpaceDN w:val="0"/>
              <w:spacing w:after="0" w:line="276" w:lineRule="auto"/>
              <w:jc w:val="both"/>
              <w:outlineLvl w:val="0"/>
              <w:rPr>
                <w:rFonts w:ascii="Times New Roman" w:hAnsi="Times New Roman" w:eastAsia="Times New Roman" w:cs="Times New Roman"/>
                <w:i/>
                <w:sz w:val="28"/>
                <w:szCs w:val="28"/>
              </w:rPr>
            </w:pPr>
            <w:r>
              <w:rPr>
                <w:rFonts w:ascii="Times New Roman" w:hAnsi="Times New Roman" w:eastAsia="Times New Roman" w:cs="Times New Roman"/>
                <w:i/>
                <w:sz w:val="28"/>
                <w:szCs w:val="28"/>
              </w:rPr>
              <w:t>11,58</w:t>
            </w:r>
          </w:p>
        </w:tc>
        <w:tc>
          <w:tcPr>
            <w:tcW w:w="603" w:type="dxa"/>
            <w:tcBorders>
              <w:top w:val="nil"/>
              <w:left w:val="outset" w:color="auto" w:sz="6" w:space="0"/>
              <w:bottom w:val="outset" w:color="auto" w:sz="6" w:space="0"/>
              <w:right w:val="outset" w:color="auto" w:sz="6" w:space="0"/>
            </w:tcBorders>
          </w:tcPr>
          <w:p w14:paraId="22164898">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7,21</w:t>
            </w:r>
          </w:p>
        </w:tc>
        <w:tc>
          <w:tcPr>
            <w:tcW w:w="605" w:type="dxa"/>
            <w:tcBorders>
              <w:top w:val="nil"/>
              <w:left w:val="outset" w:color="auto" w:sz="6" w:space="0"/>
              <w:bottom w:val="outset" w:color="auto" w:sz="6" w:space="0"/>
              <w:right w:val="outset" w:color="auto" w:sz="6" w:space="0"/>
            </w:tcBorders>
          </w:tcPr>
          <w:p w14:paraId="4BEBC2EA">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17,48</w:t>
            </w:r>
          </w:p>
        </w:tc>
        <w:tc>
          <w:tcPr>
            <w:tcW w:w="603" w:type="dxa"/>
            <w:tcBorders>
              <w:top w:val="nil"/>
              <w:left w:val="outset" w:color="auto" w:sz="6" w:space="0"/>
              <w:bottom w:val="outset" w:color="auto" w:sz="6" w:space="0"/>
              <w:right w:val="outset" w:color="auto" w:sz="6" w:space="0"/>
            </w:tcBorders>
          </w:tcPr>
          <w:p w14:paraId="2EA16C3B">
            <w:pPr>
              <w:widowControl w:val="0"/>
              <w:autoSpaceDE w:val="0"/>
              <w:autoSpaceDN w:val="0"/>
              <w:spacing w:after="0" w:line="276" w:lineRule="auto"/>
              <w:jc w:val="both"/>
              <w:outlineLvl w:val="0"/>
              <w:rPr>
                <w:rFonts w:ascii="Times New Roman" w:hAnsi="Times New Roman" w:eastAsia="Times New Roman" w:cs="Times New Roman"/>
                <w:i/>
                <w:sz w:val="28"/>
                <w:szCs w:val="28"/>
              </w:rPr>
            </w:pPr>
            <w:r>
              <w:rPr>
                <w:rFonts w:ascii="Times New Roman" w:hAnsi="Times New Roman" w:eastAsia="Times New Roman" w:cs="Times New Roman"/>
                <w:i/>
                <w:sz w:val="28"/>
                <w:szCs w:val="28"/>
              </w:rPr>
              <w:t>8,49</w:t>
            </w:r>
          </w:p>
        </w:tc>
        <w:tc>
          <w:tcPr>
            <w:tcW w:w="603" w:type="dxa"/>
            <w:tcBorders>
              <w:top w:val="nil"/>
              <w:left w:val="outset" w:color="auto" w:sz="6" w:space="0"/>
              <w:bottom w:val="outset" w:color="auto" w:sz="6" w:space="0"/>
              <w:right w:val="outset" w:color="auto" w:sz="6" w:space="0"/>
            </w:tcBorders>
          </w:tcPr>
          <w:p w14:paraId="01C1CDBB">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4,56</w:t>
            </w:r>
          </w:p>
        </w:tc>
        <w:tc>
          <w:tcPr>
            <w:tcW w:w="608" w:type="dxa"/>
            <w:tcBorders>
              <w:top w:val="nil"/>
              <w:left w:val="outset" w:color="auto" w:sz="6" w:space="0"/>
              <w:bottom w:val="outset" w:color="auto" w:sz="6" w:space="0"/>
              <w:right w:val="outset" w:color="auto" w:sz="6" w:space="0"/>
            </w:tcBorders>
          </w:tcPr>
          <w:p w14:paraId="02FE3E8D">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13,19</w:t>
            </w:r>
          </w:p>
        </w:tc>
        <w:tc>
          <w:tcPr>
            <w:tcW w:w="986" w:type="dxa"/>
            <w:tcBorders>
              <w:top w:val="nil"/>
              <w:left w:val="outset" w:color="auto" w:sz="6" w:space="0"/>
              <w:bottom w:val="outset" w:color="auto" w:sz="6" w:space="0"/>
              <w:right w:val="outset" w:color="auto" w:sz="6" w:space="0"/>
            </w:tcBorders>
          </w:tcPr>
          <w:p w14:paraId="6EB262DE">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6,369</w:t>
            </w:r>
          </w:p>
        </w:tc>
        <w:tc>
          <w:tcPr>
            <w:tcW w:w="607" w:type="dxa"/>
            <w:tcBorders>
              <w:top w:val="nil"/>
              <w:left w:val="outset" w:color="auto" w:sz="6" w:space="0"/>
              <w:bottom w:val="outset" w:color="auto" w:sz="6" w:space="0"/>
              <w:right w:val="outset" w:color="auto" w:sz="6" w:space="0"/>
            </w:tcBorders>
          </w:tcPr>
          <w:p w14:paraId="4C87BF9A">
            <w:pPr>
              <w:widowControl w:val="0"/>
              <w:autoSpaceDE w:val="0"/>
              <w:autoSpaceDN w:val="0"/>
              <w:spacing w:after="0" w:line="276" w:lineRule="auto"/>
              <w:jc w:val="both"/>
              <w:outlineLvl w:val="0"/>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Pr>
              <w:t>0,031</w:t>
            </w:r>
            <w:r>
              <w:rPr>
                <w:rFonts w:ascii="Times New Roman" w:hAnsi="Times New Roman" w:eastAsia="Times New Roman" w:cs="Times New Roman"/>
                <w:b/>
                <w:i/>
                <w:sz w:val="28"/>
                <w:szCs w:val="28"/>
              </w:rPr>
              <w:t>*</w:t>
            </w:r>
          </w:p>
        </w:tc>
      </w:tr>
      <w:tr w14:paraId="60F91C38">
        <w:tblPrEx>
          <w:tblCellMar>
            <w:top w:w="15" w:type="dxa"/>
            <w:left w:w="15" w:type="dxa"/>
            <w:bottom w:w="15" w:type="dxa"/>
            <w:right w:w="15" w:type="dxa"/>
          </w:tblCellMar>
        </w:tblPrEx>
        <w:trPr>
          <w:trHeight w:val="719" w:hRule="atLeast"/>
        </w:trPr>
        <w:tc>
          <w:tcPr>
            <w:tcW w:w="9348" w:type="dxa"/>
            <w:gridSpan w:val="15"/>
            <w:tcBorders>
              <w:top w:val="nil"/>
              <w:left w:val="outset" w:color="auto" w:sz="6" w:space="0"/>
              <w:bottom w:val="outset" w:color="auto" w:sz="6" w:space="0"/>
              <w:right w:val="outset" w:color="auto" w:sz="6" w:space="0"/>
            </w:tcBorders>
          </w:tcPr>
          <w:p w14:paraId="1B1DCAC8">
            <w:pPr>
              <w:widowControl w:val="0"/>
              <w:autoSpaceDE w:val="0"/>
              <w:autoSpaceDN w:val="0"/>
              <w:spacing w:after="0" w:line="276" w:lineRule="auto"/>
              <w:jc w:val="both"/>
              <w:outlineLvl w:val="0"/>
              <w:rPr>
                <w:rFonts w:ascii="Times New Roman" w:hAnsi="Times New Roman" w:eastAsia="Times New Roman" w:cs="Times New Roman"/>
                <w:b/>
                <w:bCs/>
                <w:i/>
                <w:sz w:val="28"/>
                <w:szCs w:val="28"/>
              </w:rPr>
            </w:pPr>
            <w:r>
              <w:rPr>
                <w:rFonts w:ascii="Times New Roman" w:hAnsi="Times New Roman" w:eastAsia="Times New Roman" w:cs="Times New Roman"/>
                <w:i/>
                <w:sz w:val="28"/>
                <w:szCs w:val="28"/>
              </w:rPr>
              <w:t xml:space="preserve">*–Краскел–Уоллис критерийі бойынша айырмашылығы, көрсеткіштердің өзгеруінің растығы бойынша р&lt;0.05  </w:t>
            </w:r>
          </w:p>
        </w:tc>
      </w:tr>
    </w:tbl>
    <w:p w14:paraId="4FBC67B6">
      <w:pPr>
        <w:widowControl w:val="0"/>
        <w:autoSpaceDE w:val="0"/>
        <w:autoSpaceDN w:val="0"/>
        <w:spacing w:after="0" w:line="276" w:lineRule="auto"/>
        <w:ind w:firstLine="709"/>
        <w:jc w:val="both"/>
        <w:outlineLvl w:val="0"/>
        <w:rPr>
          <w:rFonts w:ascii="Times New Roman" w:hAnsi="Times New Roman" w:eastAsia="Times New Roman" w:cs="Times New Roman"/>
          <w:b/>
          <w:bCs/>
          <w:sz w:val="28"/>
          <w:szCs w:val="28"/>
          <w:lang w:eastAsia="ru-RU"/>
        </w:rPr>
      </w:pPr>
      <w:r>
        <w:rPr>
          <w:rFonts w:ascii="Times New Roman" w:hAnsi="Times New Roman" w:eastAsia="Times New Roman" w:cs="Times New Roman"/>
          <w:b/>
          <w:bCs/>
          <w:sz w:val="28"/>
          <w:szCs w:val="28"/>
          <w:lang w:eastAsia="ru-RU"/>
        </w:rPr>
        <w:t xml:space="preserve"> </w:t>
      </w:r>
    </w:p>
    <w:p w14:paraId="09E38304">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Бұл нәтижелер темір метаболизміндегі өзгерістердің анемия мен семіздік жағдайында қалай өрбитінін көрсетеді. Әсіресе, гепсидин және ферритин деңгейлерінің жоғары немесе төмен болуы осы патологиялар арасындағы патогенетикалық байланыстарды түсінуге мүмкіндік береді. Болашақ зерттеулерде қабыну маркерлерімен және темір метаболизмімен байланыстарды тереңірек зерттеу ұсынылады.</w:t>
      </w:r>
    </w:p>
    <w:p w14:paraId="7825F862">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Осы көрсеткіштерді әрі қарай Мана–Уитни Z критерийі бойынша топаралық жұптық тексеру барысында гепсидин деңгейі 1-топқа (бақылау тобы) қарағанда 2, 3, және 4 топтарда айтарлықтай жоғары болды (р&lt;0.05). Сонымен қатар, 2 және 3 топтар немесе 3 және 4 топтар арасында статистикалық маңызды айырмашылық байқалмады (р&gt;0.05). Бұл анемия мен семіздіктің қосарланған әсері гепсидин деңгейін арттыратынын растайды. Келесі көрсеткіш, яғни эритропоэтин бойынша айтарлықтай айырмашылық тек 1 және 3 топтар (p=0,0118) және 1 және 4 топтар (p=0,023) арасында анықталды. Бұл семіздігі бар жүктілердегі эритропоэз реттелуіндегі ерекшеліктерді көрсетеді. Басқа жұптар арасында маңызды айырмашылықтар болмады. Ферритин бойынша барлық топтар арасында айтарлықтай айырмашылықтар байқалды, әсіресе 1 және 4 топтар арасында (р=0,009). Бұл анемия және семіздік кезінде темір қорының төмендейтінін дәлелдейді. Сонымен қатар, ферритиннің төмендеуі семіздігі бар жүкті әйелдерде (3 және 4 топтар – р=0,0352, р=0,047) анық байқалды. Бұл темір қорының анемия мен семіздік жағдайында елеулі түрде азайғанын көрсетеді.</w:t>
      </w:r>
    </w:p>
    <w:p w14:paraId="63B6AFD3">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Зерттеу нәтижелері анемия мен семіздік жағдайында гепсидин және ферритин деңгейлеріндегі өзгерістердің маңыздылығын көрсетеді. Гепсидин маркері анемия мен семіздік қатар болған кезде ғана максималды деңгейге жетсе, ферритин деңгейі барлық топтар арасында маңызды айырмашылықтар көрсетті. Бұл деректер 11-кестеде толығырақ сипатталған.</w:t>
      </w:r>
    </w:p>
    <w:p w14:paraId="728424F7">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 </w:t>
      </w:r>
    </w:p>
    <w:p w14:paraId="528B0679">
      <w:pPr>
        <w:widowControl w:val="0"/>
        <w:autoSpaceDE w:val="0"/>
        <w:autoSpaceDN w:val="0"/>
        <w:spacing w:after="0" w:line="276" w:lineRule="auto"/>
        <w:ind w:firstLine="709"/>
        <w:jc w:val="both"/>
        <w:outlineLvl w:val="0"/>
        <w:rPr>
          <w:rFonts w:ascii="Times New Roman" w:hAnsi="Times New Roman" w:eastAsia="Times New Roman" w:cs="Times New Roman"/>
          <w:iCs/>
          <w:sz w:val="28"/>
          <w:szCs w:val="28"/>
          <w:lang w:eastAsia="ru-RU"/>
        </w:rPr>
      </w:pPr>
      <w:r>
        <w:rPr>
          <w:rFonts w:ascii="Times New Roman" w:hAnsi="Times New Roman" w:eastAsia="Times New Roman" w:cs="Times New Roman"/>
          <w:iCs/>
          <w:sz w:val="28"/>
          <w:szCs w:val="28"/>
          <w:lang w:eastAsia="ru-RU"/>
        </w:rPr>
        <w:t>Кесте – 11.</w:t>
      </w:r>
      <w:r>
        <w:rPr>
          <w:rFonts w:ascii="Times New Roman" w:hAnsi="Times New Roman" w:eastAsia="Times New Roman" w:cs="Times New Roman"/>
          <w:b/>
          <w:bCs/>
          <w:iCs/>
          <w:sz w:val="28"/>
          <w:szCs w:val="28"/>
          <w:lang w:eastAsia="ru-RU"/>
        </w:rPr>
        <w:t xml:space="preserve"> </w:t>
      </w:r>
      <w:r>
        <w:rPr>
          <w:rFonts w:ascii="Times New Roman" w:hAnsi="Times New Roman" w:eastAsia="Times New Roman" w:cs="Times New Roman"/>
          <w:iCs/>
          <w:sz w:val="28"/>
          <w:szCs w:val="28"/>
          <w:lang w:eastAsia="ru-RU"/>
        </w:rPr>
        <w:t>Темір алмасуының маркерлерінің зерттеу топтары арасындағы жұпаралық айырмашылығы</w:t>
      </w:r>
    </w:p>
    <w:p w14:paraId="3A843BC8">
      <w:pPr>
        <w:widowControl w:val="0"/>
        <w:autoSpaceDE w:val="0"/>
        <w:autoSpaceDN w:val="0"/>
        <w:spacing w:after="0" w:line="276" w:lineRule="auto"/>
        <w:ind w:firstLine="709"/>
        <w:jc w:val="both"/>
        <w:outlineLvl w:val="0"/>
        <w:rPr>
          <w:rFonts w:ascii="Times New Roman" w:hAnsi="Times New Roman" w:eastAsia="Times New Roman" w:cs="Times New Roman"/>
          <w:iCs/>
          <w:sz w:val="28"/>
          <w:szCs w:val="28"/>
          <w:lang w:eastAsia="ru-RU"/>
        </w:rPr>
      </w:pPr>
    </w:p>
    <w:tbl>
      <w:tblPr>
        <w:tblStyle w:val="13"/>
        <w:tblW w:w="0" w:type="auto"/>
        <w:tblInd w:w="0" w:type="dxa"/>
        <w:tblLayout w:type="autofit"/>
        <w:tblCellMar>
          <w:top w:w="15" w:type="dxa"/>
          <w:left w:w="15" w:type="dxa"/>
          <w:bottom w:w="15" w:type="dxa"/>
          <w:right w:w="15" w:type="dxa"/>
        </w:tblCellMar>
      </w:tblPr>
      <w:tblGrid>
        <w:gridCol w:w="1808"/>
        <w:gridCol w:w="1226"/>
        <w:gridCol w:w="1238"/>
        <w:gridCol w:w="1226"/>
        <w:gridCol w:w="1238"/>
        <w:gridCol w:w="1226"/>
        <w:gridCol w:w="1271"/>
      </w:tblGrid>
      <w:tr w14:paraId="19D6E02F">
        <w:tblPrEx>
          <w:tblCellMar>
            <w:top w:w="15" w:type="dxa"/>
            <w:left w:w="15" w:type="dxa"/>
            <w:bottom w:w="15" w:type="dxa"/>
            <w:right w:w="15" w:type="dxa"/>
          </w:tblCellMar>
        </w:tblPrEx>
        <w:trPr>
          <w:trHeight w:val="860" w:hRule="atLeast"/>
        </w:trPr>
        <w:tc>
          <w:tcPr>
            <w:tcW w:w="1783" w:type="dxa"/>
            <w:tcBorders>
              <w:top w:val="outset" w:color="auto" w:sz="6" w:space="0"/>
              <w:left w:val="outset" w:color="auto" w:sz="6" w:space="0"/>
              <w:bottom w:val="outset" w:color="auto" w:sz="6" w:space="0"/>
              <w:right w:val="outset" w:color="auto" w:sz="6" w:space="0"/>
            </w:tcBorders>
          </w:tcPr>
          <w:p w14:paraId="7DF629BD">
            <w:pPr>
              <w:widowControl w:val="0"/>
              <w:autoSpaceDE w:val="0"/>
              <w:autoSpaceDN w:val="0"/>
              <w:spacing w:before="100" w:beforeAutospacing="0" w:after="0" w:afterAutospacing="0" w:line="276" w:lineRule="auto"/>
              <w:jc w:val="both"/>
              <w:outlineLvl w:val="0"/>
              <w:rPr>
                <w:rFonts w:ascii="Times New Roman" w:hAnsi="Times New Roman" w:eastAsia="Times New Roman" w:cs="Times New Roman"/>
                <w:b/>
                <w:bCs/>
                <w:sz w:val="28"/>
                <w:szCs w:val="28"/>
                <w:lang w:val="en-US" w:eastAsia="ru-RU"/>
              </w:rPr>
            </w:pPr>
            <w:r>
              <w:rPr>
                <w:rFonts w:ascii="Times New Roman" w:hAnsi="Times New Roman" w:eastAsia="Times New Roman" w:cs="Times New Roman"/>
                <w:b/>
                <w:bCs/>
                <w:sz w:val="28"/>
                <w:szCs w:val="28"/>
                <w:lang w:val="en-US" w:eastAsia="ru-RU"/>
              </w:rPr>
              <w:t>Көрсеткіштер</w:t>
            </w:r>
          </w:p>
        </w:tc>
        <w:tc>
          <w:tcPr>
            <w:tcW w:w="1226" w:type="dxa"/>
            <w:tcBorders>
              <w:top w:val="outset" w:color="auto" w:sz="6" w:space="0"/>
              <w:left w:val="outset" w:color="auto" w:sz="6" w:space="0"/>
              <w:bottom w:val="outset" w:color="auto" w:sz="6" w:space="0"/>
              <w:right w:val="outset" w:color="auto" w:sz="6" w:space="0"/>
            </w:tcBorders>
          </w:tcPr>
          <w:p w14:paraId="67AC3FCE">
            <w:pPr>
              <w:widowControl w:val="0"/>
              <w:autoSpaceDE w:val="0"/>
              <w:autoSpaceDN w:val="0"/>
              <w:spacing w:before="100" w:beforeAutospacing="0" w:after="0" w:afterAutospacing="0" w:line="276" w:lineRule="auto"/>
              <w:jc w:val="center"/>
              <w:outlineLvl w:val="0"/>
              <w:rPr>
                <w:rFonts w:ascii="Times New Roman" w:hAnsi="Times New Roman" w:eastAsia="Times New Roman" w:cs="Times New Roman"/>
                <w:b/>
                <w:bCs/>
                <w:sz w:val="28"/>
                <w:szCs w:val="28"/>
                <w:lang w:val="en-US" w:eastAsia="ru-RU"/>
              </w:rPr>
            </w:pPr>
            <w:r>
              <w:rPr>
                <w:rFonts w:ascii="Times New Roman" w:hAnsi="Times New Roman" w:eastAsia="Times New Roman" w:cs="Times New Roman"/>
                <w:b/>
                <w:bCs/>
                <w:sz w:val="28"/>
                <w:szCs w:val="28"/>
                <w:lang w:val="en-US" w:eastAsia="ru-RU"/>
              </w:rPr>
              <w:t>1 және 2 топтар</w:t>
            </w:r>
          </w:p>
        </w:tc>
        <w:tc>
          <w:tcPr>
            <w:tcW w:w="1238" w:type="dxa"/>
            <w:tcBorders>
              <w:top w:val="outset" w:color="auto" w:sz="6" w:space="0"/>
              <w:left w:val="outset" w:color="auto" w:sz="6" w:space="0"/>
              <w:bottom w:val="outset" w:color="auto" w:sz="6" w:space="0"/>
              <w:right w:val="outset" w:color="auto" w:sz="6" w:space="0"/>
            </w:tcBorders>
          </w:tcPr>
          <w:p w14:paraId="56189D53">
            <w:pPr>
              <w:widowControl w:val="0"/>
              <w:autoSpaceDE w:val="0"/>
              <w:autoSpaceDN w:val="0"/>
              <w:spacing w:before="100" w:beforeAutospacing="0" w:after="0" w:afterAutospacing="0" w:line="276" w:lineRule="auto"/>
              <w:jc w:val="center"/>
              <w:outlineLvl w:val="0"/>
              <w:rPr>
                <w:rFonts w:ascii="Times New Roman" w:hAnsi="Times New Roman" w:eastAsia="Times New Roman" w:cs="Times New Roman"/>
                <w:b/>
                <w:bCs/>
                <w:sz w:val="28"/>
                <w:szCs w:val="28"/>
                <w:lang w:val="en-US" w:eastAsia="ru-RU"/>
              </w:rPr>
            </w:pPr>
            <w:r>
              <w:rPr>
                <w:rFonts w:ascii="Times New Roman" w:hAnsi="Times New Roman" w:eastAsia="Times New Roman" w:cs="Times New Roman"/>
                <w:b/>
                <w:bCs/>
                <w:sz w:val="28"/>
                <w:szCs w:val="28"/>
                <w:lang w:val="en-US" w:eastAsia="ru-RU"/>
              </w:rPr>
              <w:t>1 және 3 топтар</w:t>
            </w:r>
          </w:p>
        </w:tc>
        <w:tc>
          <w:tcPr>
            <w:tcW w:w="1226" w:type="dxa"/>
            <w:tcBorders>
              <w:top w:val="outset" w:color="auto" w:sz="6" w:space="0"/>
              <w:left w:val="outset" w:color="auto" w:sz="6" w:space="0"/>
              <w:bottom w:val="outset" w:color="auto" w:sz="6" w:space="0"/>
              <w:right w:val="outset" w:color="auto" w:sz="6" w:space="0"/>
            </w:tcBorders>
          </w:tcPr>
          <w:p w14:paraId="09584AAE">
            <w:pPr>
              <w:widowControl w:val="0"/>
              <w:autoSpaceDE w:val="0"/>
              <w:autoSpaceDN w:val="0"/>
              <w:spacing w:before="100" w:beforeAutospacing="0" w:after="0" w:afterAutospacing="0" w:line="276" w:lineRule="auto"/>
              <w:jc w:val="center"/>
              <w:outlineLvl w:val="0"/>
              <w:rPr>
                <w:rFonts w:ascii="Times New Roman" w:hAnsi="Times New Roman" w:eastAsia="Times New Roman" w:cs="Times New Roman"/>
                <w:b/>
                <w:bCs/>
                <w:sz w:val="28"/>
                <w:szCs w:val="28"/>
                <w:lang w:val="en-US" w:eastAsia="ru-RU"/>
              </w:rPr>
            </w:pPr>
            <w:r>
              <w:rPr>
                <w:rFonts w:ascii="Times New Roman" w:hAnsi="Times New Roman" w:eastAsia="Times New Roman" w:cs="Times New Roman"/>
                <w:b/>
                <w:bCs/>
                <w:sz w:val="28"/>
                <w:szCs w:val="28"/>
                <w:lang w:val="en-US" w:eastAsia="ru-RU"/>
              </w:rPr>
              <w:t>1 және 4 топтар</w:t>
            </w:r>
          </w:p>
        </w:tc>
        <w:tc>
          <w:tcPr>
            <w:tcW w:w="1238" w:type="dxa"/>
            <w:tcBorders>
              <w:top w:val="outset" w:color="auto" w:sz="6" w:space="0"/>
              <w:left w:val="outset" w:color="auto" w:sz="6" w:space="0"/>
              <w:bottom w:val="outset" w:color="auto" w:sz="6" w:space="0"/>
              <w:right w:val="outset" w:color="auto" w:sz="6" w:space="0"/>
            </w:tcBorders>
          </w:tcPr>
          <w:p w14:paraId="1B359A4E">
            <w:pPr>
              <w:widowControl w:val="0"/>
              <w:autoSpaceDE w:val="0"/>
              <w:autoSpaceDN w:val="0"/>
              <w:spacing w:before="100" w:beforeAutospacing="0" w:after="0" w:afterAutospacing="0" w:line="276" w:lineRule="auto"/>
              <w:jc w:val="center"/>
              <w:outlineLvl w:val="0"/>
              <w:rPr>
                <w:rFonts w:ascii="Times New Roman" w:hAnsi="Times New Roman" w:eastAsia="Times New Roman" w:cs="Times New Roman"/>
                <w:b/>
                <w:bCs/>
                <w:sz w:val="28"/>
                <w:szCs w:val="28"/>
                <w:lang w:val="en-US" w:eastAsia="ru-RU"/>
              </w:rPr>
            </w:pPr>
            <w:r>
              <w:rPr>
                <w:rFonts w:ascii="Times New Roman" w:hAnsi="Times New Roman" w:eastAsia="Times New Roman" w:cs="Times New Roman"/>
                <w:b/>
                <w:bCs/>
                <w:sz w:val="28"/>
                <w:szCs w:val="28"/>
                <w:lang w:val="en-US" w:eastAsia="ru-RU"/>
              </w:rPr>
              <w:t>2 және 3 топтар</w:t>
            </w:r>
          </w:p>
        </w:tc>
        <w:tc>
          <w:tcPr>
            <w:tcW w:w="1226" w:type="dxa"/>
            <w:tcBorders>
              <w:top w:val="outset" w:color="auto" w:sz="6" w:space="0"/>
              <w:left w:val="outset" w:color="auto" w:sz="6" w:space="0"/>
              <w:bottom w:val="outset" w:color="auto" w:sz="6" w:space="0"/>
              <w:right w:val="outset" w:color="auto" w:sz="6" w:space="0"/>
            </w:tcBorders>
          </w:tcPr>
          <w:p w14:paraId="726D5270">
            <w:pPr>
              <w:widowControl w:val="0"/>
              <w:autoSpaceDE w:val="0"/>
              <w:autoSpaceDN w:val="0"/>
              <w:spacing w:before="100" w:beforeAutospacing="0" w:after="0" w:afterAutospacing="0" w:line="276" w:lineRule="auto"/>
              <w:jc w:val="center"/>
              <w:outlineLvl w:val="0"/>
              <w:rPr>
                <w:rFonts w:ascii="Times New Roman" w:hAnsi="Times New Roman" w:eastAsia="Times New Roman" w:cs="Times New Roman"/>
                <w:b/>
                <w:bCs/>
                <w:sz w:val="28"/>
                <w:szCs w:val="28"/>
                <w:lang w:val="en-US" w:eastAsia="ru-RU"/>
              </w:rPr>
            </w:pPr>
            <w:r>
              <w:rPr>
                <w:rFonts w:ascii="Times New Roman" w:hAnsi="Times New Roman" w:eastAsia="Times New Roman" w:cs="Times New Roman"/>
                <w:b/>
                <w:bCs/>
                <w:sz w:val="28"/>
                <w:szCs w:val="28"/>
                <w:lang w:val="en-US" w:eastAsia="ru-RU"/>
              </w:rPr>
              <w:t>2 және 4 топтар</w:t>
            </w:r>
          </w:p>
        </w:tc>
        <w:tc>
          <w:tcPr>
            <w:tcW w:w="1268" w:type="dxa"/>
            <w:tcBorders>
              <w:top w:val="outset" w:color="auto" w:sz="6" w:space="0"/>
              <w:left w:val="outset" w:color="auto" w:sz="6" w:space="0"/>
              <w:bottom w:val="outset" w:color="auto" w:sz="6" w:space="0"/>
              <w:right w:val="outset" w:color="auto" w:sz="6" w:space="0"/>
            </w:tcBorders>
          </w:tcPr>
          <w:p w14:paraId="6700840D">
            <w:pPr>
              <w:widowControl w:val="0"/>
              <w:autoSpaceDE w:val="0"/>
              <w:autoSpaceDN w:val="0"/>
              <w:spacing w:before="100" w:beforeAutospacing="0" w:after="0" w:afterAutospacing="0" w:line="276" w:lineRule="auto"/>
              <w:jc w:val="center"/>
              <w:outlineLvl w:val="0"/>
              <w:rPr>
                <w:rFonts w:ascii="Times New Roman" w:hAnsi="Times New Roman" w:eastAsia="Times New Roman" w:cs="Times New Roman"/>
                <w:b/>
                <w:bCs/>
                <w:sz w:val="28"/>
                <w:szCs w:val="28"/>
                <w:lang w:val="en-US" w:eastAsia="ru-RU"/>
              </w:rPr>
            </w:pPr>
            <w:r>
              <w:rPr>
                <w:rFonts w:ascii="Times New Roman" w:hAnsi="Times New Roman" w:eastAsia="Times New Roman" w:cs="Times New Roman"/>
                <w:b/>
                <w:bCs/>
                <w:sz w:val="28"/>
                <w:szCs w:val="28"/>
                <w:lang w:val="en-US" w:eastAsia="ru-RU"/>
              </w:rPr>
              <w:t>3 және 4 топтар</w:t>
            </w:r>
          </w:p>
        </w:tc>
      </w:tr>
      <w:tr w14:paraId="7907DC68">
        <w:tblPrEx>
          <w:tblCellMar>
            <w:top w:w="15" w:type="dxa"/>
            <w:left w:w="15" w:type="dxa"/>
            <w:bottom w:w="15" w:type="dxa"/>
            <w:right w:w="15" w:type="dxa"/>
          </w:tblCellMar>
        </w:tblPrEx>
        <w:trPr>
          <w:trHeight w:val="463" w:hRule="atLeast"/>
        </w:trPr>
        <w:tc>
          <w:tcPr>
            <w:tcW w:w="1783" w:type="dxa"/>
            <w:tcBorders>
              <w:top w:val="nil"/>
              <w:left w:val="outset" w:color="auto" w:sz="6" w:space="0"/>
              <w:bottom w:val="outset" w:color="auto" w:sz="6" w:space="0"/>
              <w:right w:val="outset" w:color="auto" w:sz="6" w:space="0"/>
            </w:tcBorders>
          </w:tcPr>
          <w:p w14:paraId="63632F68">
            <w:pPr>
              <w:widowControl w:val="0"/>
              <w:autoSpaceDE w:val="0"/>
              <w:autoSpaceDN w:val="0"/>
              <w:spacing w:before="100" w:beforeAutospacing="0" w:after="0" w:afterAutospacing="0" w:line="276" w:lineRule="auto"/>
              <w:jc w:val="both"/>
              <w:outlineLvl w:val="0"/>
              <w:rPr>
                <w:rFonts w:ascii="Times New Roman" w:hAnsi="Times New Roman" w:eastAsia="Times New Roman" w:cs="Times New Roman"/>
                <w:b/>
                <w:bCs/>
                <w:sz w:val="28"/>
                <w:szCs w:val="28"/>
                <w:lang w:val="en-US" w:eastAsia="ru-RU"/>
              </w:rPr>
            </w:pPr>
          </w:p>
        </w:tc>
        <w:tc>
          <w:tcPr>
            <w:tcW w:w="1226" w:type="dxa"/>
            <w:tcBorders>
              <w:top w:val="nil"/>
              <w:left w:val="outset" w:color="auto" w:sz="6" w:space="0"/>
              <w:bottom w:val="outset" w:color="auto" w:sz="6" w:space="0"/>
              <w:right w:val="outset" w:color="auto" w:sz="6" w:space="0"/>
            </w:tcBorders>
          </w:tcPr>
          <w:p w14:paraId="6F1E9BCB">
            <w:pPr>
              <w:widowControl w:val="0"/>
              <w:autoSpaceDE w:val="0"/>
              <w:autoSpaceDN w:val="0"/>
              <w:spacing w:before="100" w:beforeAutospacing="0" w:after="0" w:afterAutospacing="0" w:line="276" w:lineRule="auto"/>
              <w:jc w:val="both"/>
              <w:outlineLvl w:val="0"/>
              <w:rPr>
                <w:rFonts w:ascii="Times New Roman" w:hAnsi="Times New Roman" w:eastAsia="Times New Roman" w:cs="Times New Roman"/>
                <w:b/>
                <w:bCs/>
                <w:sz w:val="28"/>
                <w:szCs w:val="28"/>
                <w:lang w:val="en-US" w:eastAsia="ru-RU"/>
              </w:rPr>
            </w:pPr>
            <w:r>
              <w:rPr>
                <w:rFonts w:ascii="Times New Roman" w:hAnsi="Times New Roman" w:eastAsia="Times New Roman" w:cs="Times New Roman"/>
                <w:sz w:val="28"/>
                <w:szCs w:val="28"/>
                <w:lang w:val="en-US" w:eastAsia="ru-RU"/>
              </w:rPr>
              <w:t>р</w:t>
            </w:r>
          </w:p>
        </w:tc>
        <w:tc>
          <w:tcPr>
            <w:tcW w:w="1238" w:type="dxa"/>
            <w:tcBorders>
              <w:top w:val="nil"/>
              <w:left w:val="outset" w:color="auto" w:sz="6" w:space="0"/>
              <w:bottom w:val="outset" w:color="auto" w:sz="6" w:space="0"/>
              <w:right w:val="outset" w:color="auto" w:sz="6" w:space="0"/>
            </w:tcBorders>
          </w:tcPr>
          <w:p w14:paraId="044BB3FC">
            <w:pPr>
              <w:widowControl w:val="0"/>
              <w:autoSpaceDE w:val="0"/>
              <w:autoSpaceDN w:val="0"/>
              <w:spacing w:before="100" w:beforeAutospacing="0" w:after="0" w:afterAutospacing="0" w:line="276" w:lineRule="auto"/>
              <w:jc w:val="both"/>
              <w:outlineLvl w:val="0"/>
              <w:rPr>
                <w:rFonts w:ascii="Times New Roman" w:hAnsi="Times New Roman" w:eastAsia="Times New Roman" w:cs="Times New Roman"/>
                <w:b/>
                <w:bCs/>
                <w:sz w:val="28"/>
                <w:szCs w:val="28"/>
                <w:lang w:val="en-US" w:eastAsia="ru-RU"/>
              </w:rPr>
            </w:pPr>
            <w:r>
              <w:rPr>
                <w:rFonts w:ascii="Times New Roman" w:hAnsi="Times New Roman" w:eastAsia="Times New Roman" w:cs="Times New Roman"/>
                <w:sz w:val="28"/>
                <w:szCs w:val="28"/>
                <w:lang w:val="en-US" w:eastAsia="ru-RU"/>
              </w:rPr>
              <w:t>р</w:t>
            </w:r>
          </w:p>
        </w:tc>
        <w:tc>
          <w:tcPr>
            <w:tcW w:w="1226" w:type="dxa"/>
            <w:tcBorders>
              <w:top w:val="nil"/>
              <w:left w:val="outset" w:color="auto" w:sz="6" w:space="0"/>
              <w:bottom w:val="outset" w:color="auto" w:sz="6" w:space="0"/>
              <w:right w:val="outset" w:color="auto" w:sz="6" w:space="0"/>
            </w:tcBorders>
          </w:tcPr>
          <w:p w14:paraId="67447A20">
            <w:pPr>
              <w:widowControl w:val="0"/>
              <w:autoSpaceDE w:val="0"/>
              <w:autoSpaceDN w:val="0"/>
              <w:spacing w:before="100" w:beforeAutospacing="0" w:after="0" w:afterAutospacing="0" w:line="276" w:lineRule="auto"/>
              <w:jc w:val="both"/>
              <w:outlineLvl w:val="0"/>
              <w:rPr>
                <w:rFonts w:ascii="Times New Roman" w:hAnsi="Times New Roman" w:eastAsia="Times New Roman" w:cs="Times New Roman"/>
                <w:b/>
                <w:bCs/>
                <w:sz w:val="28"/>
                <w:szCs w:val="28"/>
                <w:lang w:val="en-US" w:eastAsia="ru-RU"/>
              </w:rPr>
            </w:pPr>
            <w:r>
              <w:rPr>
                <w:rFonts w:ascii="Times New Roman" w:hAnsi="Times New Roman" w:eastAsia="Times New Roman" w:cs="Times New Roman"/>
                <w:sz w:val="28"/>
                <w:szCs w:val="28"/>
                <w:lang w:val="en-US" w:eastAsia="ru-RU"/>
              </w:rPr>
              <w:t>р</w:t>
            </w:r>
          </w:p>
        </w:tc>
        <w:tc>
          <w:tcPr>
            <w:tcW w:w="1238" w:type="dxa"/>
            <w:tcBorders>
              <w:top w:val="nil"/>
              <w:left w:val="outset" w:color="auto" w:sz="6" w:space="0"/>
              <w:bottom w:val="outset" w:color="auto" w:sz="6" w:space="0"/>
              <w:right w:val="outset" w:color="auto" w:sz="6" w:space="0"/>
            </w:tcBorders>
          </w:tcPr>
          <w:p w14:paraId="490E0494">
            <w:pPr>
              <w:widowControl w:val="0"/>
              <w:autoSpaceDE w:val="0"/>
              <w:autoSpaceDN w:val="0"/>
              <w:spacing w:before="100" w:beforeAutospacing="0" w:after="0" w:afterAutospacing="0" w:line="276" w:lineRule="auto"/>
              <w:jc w:val="both"/>
              <w:outlineLvl w:val="0"/>
              <w:rPr>
                <w:rFonts w:ascii="Times New Roman" w:hAnsi="Times New Roman" w:eastAsia="Times New Roman" w:cs="Times New Roman"/>
                <w:b/>
                <w:bCs/>
                <w:sz w:val="28"/>
                <w:szCs w:val="28"/>
                <w:lang w:val="en-US" w:eastAsia="ru-RU"/>
              </w:rPr>
            </w:pPr>
            <w:r>
              <w:rPr>
                <w:rFonts w:ascii="Times New Roman" w:hAnsi="Times New Roman" w:eastAsia="Times New Roman" w:cs="Times New Roman"/>
                <w:sz w:val="28"/>
                <w:szCs w:val="28"/>
                <w:lang w:val="en-US" w:eastAsia="ru-RU"/>
              </w:rPr>
              <w:t>р</w:t>
            </w:r>
          </w:p>
        </w:tc>
        <w:tc>
          <w:tcPr>
            <w:tcW w:w="1226" w:type="dxa"/>
            <w:tcBorders>
              <w:top w:val="nil"/>
              <w:left w:val="outset" w:color="auto" w:sz="6" w:space="0"/>
              <w:bottom w:val="outset" w:color="auto" w:sz="6" w:space="0"/>
              <w:right w:val="outset" w:color="auto" w:sz="6" w:space="0"/>
            </w:tcBorders>
          </w:tcPr>
          <w:p w14:paraId="39D26B45">
            <w:pPr>
              <w:widowControl w:val="0"/>
              <w:autoSpaceDE w:val="0"/>
              <w:autoSpaceDN w:val="0"/>
              <w:spacing w:before="100" w:beforeAutospacing="0" w:after="0" w:afterAutospacing="0" w:line="276" w:lineRule="auto"/>
              <w:jc w:val="both"/>
              <w:outlineLvl w:val="0"/>
              <w:rPr>
                <w:rFonts w:ascii="Times New Roman" w:hAnsi="Times New Roman" w:eastAsia="Times New Roman" w:cs="Times New Roman"/>
                <w:b/>
                <w:bCs/>
                <w:sz w:val="28"/>
                <w:szCs w:val="28"/>
                <w:lang w:val="en-US" w:eastAsia="ru-RU"/>
              </w:rPr>
            </w:pPr>
            <w:r>
              <w:rPr>
                <w:rFonts w:ascii="Times New Roman" w:hAnsi="Times New Roman" w:eastAsia="Times New Roman" w:cs="Times New Roman"/>
                <w:sz w:val="28"/>
                <w:szCs w:val="28"/>
                <w:lang w:val="en-US" w:eastAsia="ru-RU"/>
              </w:rPr>
              <w:t>р</w:t>
            </w:r>
          </w:p>
        </w:tc>
        <w:tc>
          <w:tcPr>
            <w:tcW w:w="1268" w:type="dxa"/>
            <w:tcBorders>
              <w:top w:val="nil"/>
              <w:left w:val="outset" w:color="auto" w:sz="6" w:space="0"/>
              <w:bottom w:val="outset" w:color="auto" w:sz="6" w:space="0"/>
              <w:right w:val="outset" w:color="auto" w:sz="6" w:space="0"/>
            </w:tcBorders>
          </w:tcPr>
          <w:p w14:paraId="586A172C">
            <w:pPr>
              <w:widowControl w:val="0"/>
              <w:autoSpaceDE w:val="0"/>
              <w:autoSpaceDN w:val="0"/>
              <w:spacing w:before="100" w:beforeAutospacing="0" w:after="0" w:afterAutospacing="0" w:line="276" w:lineRule="auto"/>
              <w:jc w:val="both"/>
              <w:outlineLvl w:val="0"/>
              <w:rPr>
                <w:rFonts w:ascii="Times New Roman" w:hAnsi="Times New Roman" w:eastAsia="Times New Roman" w:cs="Times New Roman"/>
                <w:b/>
                <w:bCs/>
                <w:sz w:val="28"/>
                <w:szCs w:val="28"/>
                <w:lang w:val="en-US" w:eastAsia="ru-RU"/>
              </w:rPr>
            </w:pPr>
            <w:r>
              <w:rPr>
                <w:rFonts w:ascii="Times New Roman" w:hAnsi="Times New Roman" w:eastAsia="Times New Roman" w:cs="Times New Roman"/>
                <w:sz w:val="28"/>
                <w:szCs w:val="28"/>
                <w:lang w:val="en-US" w:eastAsia="ru-RU"/>
              </w:rPr>
              <w:t>р</w:t>
            </w:r>
          </w:p>
        </w:tc>
      </w:tr>
      <w:tr w14:paraId="24C3D388">
        <w:tblPrEx>
          <w:tblCellMar>
            <w:top w:w="15" w:type="dxa"/>
            <w:left w:w="15" w:type="dxa"/>
            <w:bottom w:w="15" w:type="dxa"/>
            <w:right w:w="15" w:type="dxa"/>
          </w:tblCellMar>
        </w:tblPrEx>
        <w:trPr>
          <w:trHeight w:val="440" w:hRule="atLeast"/>
        </w:trPr>
        <w:tc>
          <w:tcPr>
            <w:tcW w:w="1783" w:type="dxa"/>
            <w:tcBorders>
              <w:top w:val="nil"/>
              <w:left w:val="outset" w:color="auto" w:sz="6" w:space="0"/>
              <w:bottom w:val="outset" w:color="auto" w:sz="6" w:space="0"/>
              <w:right w:val="outset" w:color="auto" w:sz="6" w:space="0"/>
            </w:tcBorders>
          </w:tcPr>
          <w:p w14:paraId="3D9F716D">
            <w:pPr>
              <w:widowControl w:val="0"/>
              <w:autoSpaceDE w:val="0"/>
              <w:autoSpaceDN w:val="0"/>
              <w:spacing w:before="100" w:beforeAutospacing="0" w:after="0" w:afterAutospacing="0" w:line="276" w:lineRule="auto"/>
              <w:jc w:val="both"/>
              <w:outlineLvl w:val="0"/>
              <w:rPr>
                <w:rFonts w:ascii="Times New Roman" w:hAnsi="Times New Roman" w:eastAsia="Times New Roman" w:cs="Times New Roman"/>
                <w:b/>
                <w:bCs/>
                <w:sz w:val="28"/>
                <w:szCs w:val="28"/>
                <w:lang w:val="en-US" w:eastAsia="ru-RU"/>
              </w:rPr>
            </w:pPr>
            <w:r>
              <w:rPr>
                <w:rFonts w:ascii="Times New Roman" w:hAnsi="Times New Roman" w:eastAsia="Times New Roman" w:cs="Times New Roman"/>
                <w:sz w:val="28"/>
                <w:szCs w:val="28"/>
                <w:lang w:val="en-US" w:eastAsia="ru-RU"/>
              </w:rPr>
              <w:t>Гепсидин</w:t>
            </w:r>
          </w:p>
        </w:tc>
        <w:tc>
          <w:tcPr>
            <w:tcW w:w="1226" w:type="dxa"/>
            <w:tcBorders>
              <w:top w:val="nil"/>
              <w:left w:val="outset" w:color="auto" w:sz="6" w:space="0"/>
              <w:bottom w:val="outset" w:color="auto" w:sz="6" w:space="0"/>
              <w:right w:val="outset" w:color="auto" w:sz="6" w:space="0"/>
            </w:tcBorders>
          </w:tcPr>
          <w:p w14:paraId="28CF2EF4">
            <w:pPr>
              <w:widowControl w:val="0"/>
              <w:autoSpaceDE w:val="0"/>
              <w:autoSpaceDN w:val="0"/>
              <w:spacing w:before="100" w:beforeAutospacing="0" w:after="0" w:afterAutospacing="0" w:line="276" w:lineRule="auto"/>
              <w:jc w:val="both"/>
              <w:outlineLvl w:val="0"/>
              <w:rPr>
                <w:rFonts w:ascii="Times New Roman" w:hAnsi="Times New Roman" w:eastAsia="Times New Roman" w:cs="Times New Roman"/>
                <w:b/>
                <w:bCs/>
                <w:sz w:val="28"/>
                <w:szCs w:val="28"/>
                <w:lang w:val="en-US" w:eastAsia="ru-RU"/>
              </w:rPr>
            </w:pPr>
            <w:r>
              <w:rPr>
                <w:rFonts w:ascii="Times New Roman" w:hAnsi="Times New Roman" w:eastAsia="Times New Roman" w:cs="Times New Roman"/>
                <w:b/>
                <w:sz w:val="28"/>
                <w:szCs w:val="28"/>
                <w:lang w:val="en-US" w:eastAsia="ru-RU"/>
              </w:rPr>
              <w:t>0,000</w:t>
            </w:r>
            <w:r>
              <w:rPr>
                <w:rFonts w:ascii="Times New Roman" w:hAnsi="Times New Roman" w:eastAsia="Times New Roman" w:cs="Times New Roman"/>
                <w:b/>
                <w:i/>
                <w:sz w:val="28"/>
                <w:szCs w:val="28"/>
                <w:lang w:val="en-US"/>
              </w:rPr>
              <w:t>*</w:t>
            </w:r>
          </w:p>
        </w:tc>
        <w:tc>
          <w:tcPr>
            <w:tcW w:w="1238" w:type="dxa"/>
            <w:tcBorders>
              <w:top w:val="nil"/>
              <w:left w:val="outset" w:color="auto" w:sz="6" w:space="0"/>
              <w:bottom w:val="outset" w:color="auto" w:sz="6" w:space="0"/>
              <w:right w:val="outset" w:color="auto" w:sz="6" w:space="0"/>
            </w:tcBorders>
          </w:tcPr>
          <w:p w14:paraId="2F48FDA4">
            <w:pPr>
              <w:widowControl w:val="0"/>
              <w:autoSpaceDE w:val="0"/>
              <w:autoSpaceDN w:val="0"/>
              <w:spacing w:before="100" w:beforeAutospacing="0" w:after="0" w:afterAutospacing="0" w:line="276" w:lineRule="auto"/>
              <w:jc w:val="both"/>
              <w:outlineLvl w:val="0"/>
              <w:rPr>
                <w:rFonts w:ascii="Times New Roman" w:hAnsi="Times New Roman" w:eastAsia="Times New Roman" w:cs="Times New Roman"/>
                <w:b/>
                <w:bCs/>
                <w:sz w:val="28"/>
                <w:szCs w:val="28"/>
                <w:lang w:val="en-US" w:eastAsia="ru-RU"/>
              </w:rPr>
            </w:pPr>
            <w:r>
              <w:rPr>
                <w:rFonts w:ascii="Times New Roman" w:hAnsi="Times New Roman" w:eastAsia="Times New Roman" w:cs="Times New Roman"/>
                <w:b/>
                <w:sz w:val="28"/>
                <w:szCs w:val="28"/>
                <w:lang w:val="en-US" w:eastAsia="ru-RU"/>
              </w:rPr>
              <w:t>0,000</w:t>
            </w:r>
            <w:r>
              <w:rPr>
                <w:rFonts w:ascii="Times New Roman" w:hAnsi="Times New Roman" w:eastAsia="Times New Roman" w:cs="Times New Roman"/>
                <w:b/>
                <w:i/>
                <w:sz w:val="28"/>
                <w:szCs w:val="28"/>
                <w:lang w:val="en-US"/>
              </w:rPr>
              <w:t>*</w:t>
            </w:r>
          </w:p>
        </w:tc>
        <w:tc>
          <w:tcPr>
            <w:tcW w:w="1226" w:type="dxa"/>
            <w:tcBorders>
              <w:top w:val="nil"/>
              <w:left w:val="outset" w:color="auto" w:sz="6" w:space="0"/>
              <w:bottom w:val="outset" w:color="auto" w:sz="6" w:space="0"/>
              <w:right w:val="outset" w:color="auto" w:sz="6" w:space="0"/>
            </w:tcBorders>
          </w:tcPr>
          <w:p w14:paraId="1E373C7F">
            <w:pPr>
              <w:widowControl w:val="0"/>
              <w:autoSpaceDE w:val="0"/>
              <w:autoSpaceDN w:val="0"/>
              <w:spacing w:before="100" w:beforeAutospacing="0" w:after="0" w:afterAutospacing="0" w:line="276" w:lineRule="auto"/>
              <w:jc w:val="both"/>
              <w:outlineLvl w:val="0"/>
              <w:rPr>
                <w:rFonts w:ascii="Times New Roman" w:hAnsi="Times New Roman" w:eastAsia="Times New Roman" w:cs="Times New Roman"/>
                <w:b/>
                <w:bCs/>
                <w:sz w:val="28"/>
                <w:szCs w:val="28"/>
                <w:lang w:val="en-US" w:eastAsia="ru-RU"/>
              </w:rPr>
            </w:pPr>
            <w:r>
              <w:rPr>
                <w:rFonts w:ascii="Times New Roman" w:hAnsi="Times New Roman" w:eastAsia="Times New Roman" w:cs="Times New Roman"/>
                <w:b/>
                <w:sz w:val="28"/>
                <w:szCs w:val="28"/>
                <w:lang w:val="en-US" w:eastAsia="ru-RU"/>
              </w:rPr>
              <w:t>0,000</w:t>
            </w:r>
            <w:r>
              <w:rPr>
                <w:rFonts w:ascii="Times New Roman" w:hAnsi="Times New Roman" w:eastAsia="Times New Roman" w:cs="Times New Roman"/>
                <w:b/>
                <w:i/>
                <w:sz w:val="28"/>
                <w:szCs w:val="28"/>
                <w:lang w:val="en-US"/>
              </w:rPr>
              <w:t>*</w:t>
            </w:r>
          </w:p>
        </w:tc>
        <w:tc>
          <w:tcPr>
            <w:tcW w:w="1238" w:type="dxa"/>
            <w:tcBorders>
              <w:top w:val="nil"/>
              <w:left w:val="outset" w:color="auto" w:sz="6" w:space="0"/>
              <w:bottom w:val="outset" w:color="auto" w:sz="6" w:space="0"/>
              <w:right w:val="outset" w:color="auto" w:sz="6" w:space="0"/>
            </w:tcBorders>
          </w:tcPr>
          <w:p w14:paraId="4818854A">
            <w:pPr>
              <w:widowControl w:val="0"/>
              <w:autoSpaceDE w:val="0"/>
              <w:autoSpaceDN w:val="0"/>
              <w:spacing w:before="100" w:beforeAutospacing="0" w:after="0" w:afterAutospacing="0" w:line="276" w:lineRule="auto"/>
              <w:jc w:val="both"/>
              <w:outlineLvl w:val="0"/>
              <w:rPr>
                <w:rFonts w:ascii="Times New Roman" w:hAnsi="Times New Roman" w:eastAsia="Times New Roman" w:cs="Times New Roman"/>
                <w:b/>
                <w:bCs/>
                <w:sz w:val="28"/>
                <w:szCs w:val="28"/>
                <w:lang w:val="en-US" w:eastAsia="ru-RU"/>
              </w:rPr>
            </w:pPr>
            <w:r>
              <w:rPr>
                <w:rFonts w:ascii="Times New Roman" w:hAnsi="Times New Roman" w:eastAsia="Times New Roman" w:cs="Times New Roman"/>
                <w:sz w:val="28"/>
                <w:szCs w:val="28"/>
                <w:lang w:val="en-US" w:eastAsia="ru-RU"/>
              </w:rPr>
              <w:t>0,</w:t>
            </w:r>
            <w:r>
              <w:rPr>
                <w:rFonts w:ascii="Times New Roman" w:hAnsi="Times New Roman" w:eastAsia="Times New Roman" w:cs="Times New Roman"/>
                <w:sz w:val="28"/>
                <w:szCs w:val="28"/>
                <w:lang w:val="en-US"/>
              </w:rPr>
              <w:t>161</w:t>
            </w:r>
          </w:p>
        </w:tc>
        <w:tc>
          <w:tcPr>
            <w:tcW w:w="1226" w:type="dxa"/>
            <w:tcBorders>
              <w:top w:val="nil"/>
              <w:left w:val="outset" w:color="auto" w:sz="6" w:space="0"/>
              <w:bottom w:val="outset" w:color="auto" w:sz="6" w:space="0"/>
              <w:right w:val="outset" w:color="auto" w:sz="6" w:space="0"/>
            </w:tcBorders>
          </w:tcPr>
          <w:p w14:paraId="6FBE47B7">
            <w:pPr>
              <w:widowControl w:val="0"/>
              <w:autoSpaceDE w:val="0"/>
              <w:autoSpaceDN w:val="0"/>
              <w:spacing w:before="100" w:beforeAutospacing="0" w:after="0" w:afterAutospacing="0" w:line="276" w:lineRule="auto"/>
              <w:jc w:val="both"/>
              <w:outlineLvl w:val="0"/>
              <w:rPr>
                <w:rFonts w:ascii="Times New Roman" w:hAnsi="Times New Roman" w:eastAsia="Times New Roman" w:cs="Times New Roman"/>
                <w:b/>
                <w:bCs/>
                <w:sz w:val="28"/>
                <w:szCs w:val="28"/>
                <w:lang w:val="en-US" w:eastAsia="ru-RU"/>
              </w:rPr>
            </w:pPr>
            <w:r>
              <w:rPr>
                <w:rFonts w:ascii="Times New Roman" w:hAnsi="Times New Roman" w:eastAsia="Times New Roman" w:cs="Times New Roman"/>
                <w:sz w:val="28"/>
                <w:szCs w:val="28"/>
                <w:lang w:val="en-US" w:eastAsia="ru-RU"/>
              </w:rPr>
              <w:t>0,1</w:t>
            </w:r>
            <w:r>
              <w:rPr>
                <w:rFonts w:ascii="Times New Roman" w:hAnsi="Times New Roman" w:eastAsia="Times New Roman" w:cs="Times New Roman"/>
                <w:sz w:val="28"/>
                <w:szCs w:val="28"/>
                <w:lang w:val="en-US"/>
              </w:rPr>
              <w:t>35</w:t>
            </w:r>
          </w:p>
        </w:tc>
        <w:tc>
          <w:tcPr>
            <w:tcW w:w="1268" w:type="dxa"/>
            <w:tcBorders>
              <w:top w:val="nil"/>
              <w:left w:val="outset" w:color="auto" w:sz="6" w:space="0"/>
              <w:bottom w:val="outset" w:color="auto" w:sz="6" w:space="0"/>
              <w:right w:val="outset" w:color="auto" w:sz="6" w:space="0"/>
            </w:tcBorders>
          </w:tcPr>
          <w:p w14:paraId="71D21D88">
            <w:pPr>
              <w:widowControl w:val="0"/>
              <w:autoSpaceDE w:val="0"/>
              <w:autoSpaceDN w:val="0"/>
              <w:spacing w:before="100" w:beforeAutospacing="0" w:after="0" w:afterAutospacing="0" w:line="276" w:lineRule="auto"/>
              <w:jc w:val="both"/>
              <w:outlineLvl w:val="0"/>
              <w:rPr>
                <w:rFonts w:ascii="Times New Roman" w:hAnsi="Times New Roman" w:eastAsia="Times New Roman" w:cs="Times New Roman"/>
                <w:b/>
                <w:bCs/>
                <w:sz w:val="28"/>
                <w:szCs w:val="28"/>
                <w:lang w:val="en-US" w:eastAsia="ru-RU"/>
              </w:rPr>
            </w:pPr>
            <w:r>
              <w:rPr>
                <w:rFonts w:ascii="Times New Roman" w:hAnsi="Times New Roman" w:eastAsia="Times New Roman" w:cs="Times New Roman"/>
                <w:sz w:val="28"/>
                <w:szCs w:val="28"/>
                <w:lang w:val="en-US" w:eastAsia="ru-RU"/>
              </w:rPr>
              <w:t>0,</w:t>
            </w:r>
            <w:r>
              <w:rPr>
                <w:rFonts w:ascii="Times New Roman" w:hAnsi="Times New Roman" w:eastAsia="Times New Roman" w:cs="Times New Roman"/>
                <w:sz w:val="28"/>
                <w:szCs w:val="28"/>
                <w:lang w:val="en-US"/>
              </w:rPr>
              <w:t>060</w:t>
            </w:r>
          </w:p>
        </w:tc>
      </w:tr>
      <w:tr w14:paraId="4ABC23BA">
        <w:tblPrEx>
          <w:tblCellMar>
            <w:top w:w="15" w:type="dxa"/>
            <w:left w:w="15" w:type="dxa"/>
            <w:bottom w:w="15" w:type="dxa"/>
            <w:right w:w="15" w:type="dxa"/>
          </w:tblCellMar>
        </w:tblPrEx>
        <w:trPr>
          <w:trHeight w:val="463" w:hRule="atLeast"/>
        </w:trPr>
        <w:tc>
          <w:tcPr>
            <w:tcW w:w="1783" w:type="dxa"/>
            <w:tcBorders>
              <w:top w:val="nil"/>
              <w:left w:val="outset" w:color="auto" w:sz="6" w:space="0"/>
              <w:bottom w:val="outset" w:color="auto" w:sz="6" w:space="0"/>
              <w:right w:val="outset" w:color="auto" w:sz="6" w:space="0"/>
            </w:tcBorders>
          </w:tcPr>
          <w:p w14:paraId="0796DC41">
            <w:pPr>
              <w:widowControl w:val="0"/>
              <w:autoSpaceDE w:val="0"/>
              <w:autoSpaceDN w:val="0"/>
              <w:spacing w:before="100" w:beforeAutospacing="0" w:after="0" w:afterAutospacing="0" w:line="276" w:lineRule="auto"/>
              <w:jc w:val="both"/>
              <w:outlineLvl w:val="0"/>
              <w:rPr>
                <w:rFonts w:ascii="Times New Roman" w:hAnsi="Times New Roman" w:eastAsia="Times New Roman" w:cs="Times New Roman"/>
                <w:b/>
                <w:bCs/>
                <w:sz w:val="28"/>
                <w:szCs w:val="28"/>
                <w:lang w:val="en-US" w:eastAsia="ru-RU"/>
              </w:rPr>
            </w:pPr>
            <w:r>
              <w:rPr>
                <w:rFonts w:ascii="Times New Roman" w:hAnsi="Times New Roman" w:eastAsia="Times New Roman" w:cs="Times New Roman"/>
                <w:sz w:val="28"/>
                <w:szCs w:val="28"/>
                <w:lang w:val="en-US" w:eastAsia="ru-RU"/>
              </w:rPr>
              <w:t>Эритропоэтин</w:t>
            </w:r>
          </w:p>
        </w:tc>
        <w:tc>
          <w:tcPr>
            <w:tcW w:w="1226" w:type="dxa"/>
            <w:tcBorders>
              <w:top w:val="nil"/>
              <w:left w:val="outset" w:color="auto" w:sz="6" w:space="0"/>
              <w:bottom w:val="outset" w:color="auto" w:sz="6" w:space="0"/>
              <w:right w:val="outset" w:color="auto" w:sz="6" w:space="0"/>
            </w:tcBorders>
          </w:tcPr>
          <w:p w14:paraId="418C66E8">
            <w:pPr>
              <w:widowControl w:val="0"/>
              <w:autoSpaceDE w:val="0"/>
              <w:autoSpaceDN w:val="0"/>
              <w:spacing w:before="100" w:beforeAutospacing="0" w:after="0" w:afterAutospacing="0" w:line="276" w:lineRule="auto"/>
              <w:jc w:val="both"/>
              <w:outlineLvl w:val="0"/>
              <w:rPr>
                <w:rFonts w:ascii="Times New Roman" w:hAnsi="Times New Roman" w:eastAsia="Times New Roman" w:cs="Times New Roman"/>
                <w:b/>
                <w:bCs/>
                <w:sz w:val="28"/>
                <w:szCs w:val="28"/>
                <w:lang w:val="en-US" w:eastAsia="ru-RU"/>
              </w:rPr>
            </w:pPr>
            <w:r>
              <w:rPr>
                <w:rFonts w:ascii="Times New Roman" w:hAnsi="Times New Roman" w:eastAsia="Times New Roman" w:cs="Times New Roman"/>
                <w:sz w:val="28"/>
                <w:szCs w:val="28"/>
                <w:lang w:val="en-US" w:eastAsia="ru-RU"/>
              </w:rPr>
              <w:t>0,430</w:t>
            </w:r>
          </w:p>
        </w:tc>
        <w:tc>
          <w:tcPr>
            <w:tcW w:w="1238" w:type="dxa"/>
            <w:tcBorders>
              <w:top w:val="nil"/>
              <w:left w:val="outset" w:color="auto" w:sz="6" w:space="0"/>
              <w:bottom w:val="outset" w:color="auto" w:sz="6" w:space="0"/>
              <w:right w:val="outset" w:color="auto" w:sz="6" w:space="0"/>
            </w:tcBorders>
          </w:tcPr>
          <w:p w14:paraId="42549C16">
            <w:pPr>
              <w:widowControl w:val="0"/>
              <w:autoSpaceDE w:val="0"/>
              <w:autoSpaceDN w:val="0"/>
              <w:spacing w:before="100" w:beforeAutospacing="0" w:after="0" w:afterAutospacing="0" w:line="276" w:lineRule="auto"/>
              <w:jc w:val="both"/>
              <w:outlineLvl w:val="0"/>
              <w:rPr>
                <w:rFonts w:ascii="Times New Roman" w:hAnsi="Times New Roman" w:eastAsia="Times New Roman" w:cs="Times New Roman"/>
                <w:b/>
                <w:bCs/>
                <w:sz w:val="28"/>
                <w:szCs w:val="28"/>
                <w:lang w:val="en-US" w:eastAsia="ru-RU"/>
              </w:rPr>
            </w:pPr>
            <w:r>
              <w:rPr>
                <w:rFonts w:ascii="Times New Roman" w:hAnsi="Times New Roman" w:eastAsia="Times New Roman" w:cs="Times New Roman"/>
                <w:b/>
                <w:sz w:val="28"/>
                <w:szCs w:val="28"/>
                <w:lang w:val="en-US" w:eastAsia="ru-RU"/>
              </w:rPr>
              <w:t>0,0118</w:t>
            </w:r>
            <w:r>
              <w:rPr>
                <w:rFonts w:ascii="Times New Roman" w:hAnsi="Times New Roman" w:eastAsia="Times New Roman" w:cs="Times New Roman"/>
                <w:b/>
                <w:i/>
                <w:sz w:val="28"/>
                <w:szCs w:val="28"/>
                <w:lang w:val="en-US"/>
              </w:rPr>
              <w:t>*</w:t>
            </w:r>
          </w:p>
        </w:tc>
        <w:tc>
          <w:tcPr>
            <w:tcW w:w="1226" w:type="dxa"/>
            <w:tcBorders>
              <w:top w:val="nil"/>
              <w:left w:val="outset" w:color="auto" w:sz="6" w:space="0"/>
              <w:bottom w:val="outset" w:color="auto" w:sz="6" w:space="0"/>
              <w:right w:val="outset" w:color="auto" w:sz="6" w:space="0"/>
            </w:tcBorders>
          </w:tcPr>
          <w:p w14:paraId="42F4CE9C">
            <w:pPr>
              <w:widowControl w:val="0"/>
              <w:autoSpaceDE w:val="0"/>
              <w:autoSpaceDN w:val="0"/>
              <w:spacing w:before="100" w:beforeAutospacing="0" w:after="0" w:afterAutospacing="0" w:line="276" w:lineRule="auto"/>
              <w:jc w:val="both"/>
              <w:outlineLvl w:val="0"/>
              <w:rPr>
                <w:rFonts w:ascii="Times New Roman" w:hAnsi="Times New Roman" w:eastAsia="Times New Roman" w:cs="Times New Roman"/>
                <w:b/>
                <w:bCs/>
                <w:sz w:val="28"/>
                <w:szCs w:val="28"/>
                <w:lang w:val="en-US" w:eastAsia="ru-RU"/>
              </w:rPr>
            </w:pPr>
            <w:r>
              <w:rPr>
                <w:rFonts w:ascii="Times New Roman" w:hAnsi="Times New Roman" w:eastAsia="Times New Roman" w:cs="Times New Roman"/>
                <w:b/>
                <w:sz w:val="28"/>
                <w:szCs w:val="28"/>
                <w:lang w:val="en-US" w:eastAsia="ru-RU"/>
              </w:rPr>
              <w:t>0,0</w:t>
            </w:r>
            <w:r>
              <w:rPr>
                <w:rFonts w:ascii="Times New Roman" w:hAnsi="Times New Roman" w:eastAsia="Times New Roman" w:cs="Times New Roman"/>
                <w:b/>
                <w:sz w:val="28"/>
                <w:szCs w:val="28"/>
                <w:lang w:val="en-US"/>
              </w:rPr>
              <w:t>23</w:t>
            </w:r>
            <w:r>
              <w:rPr>
                <w:rFonts w:ascii="Times New Roman" w:hAnsi="Times New Roman" w:eastAsia="Times New Roman" w:cs="Times New Roman"/>
                <w:b/>
                <w:i/>
                <w:sz w:val="28"/>
                <w:szCs w:val="28"/>
                <w:lang w:val="en-US"/>
              </w:rPr>
              <w:t>*</w:t>
            </w:r>
          </w:p>
        </w:tc>
        <w:tc>
          <w:tcPr>
            <w:tcW w:w="1238" w:type="dxa"/>
            <w:tcBorders>
              <w:top w:val="nil"/>
              <w:left w:val="outset" w:color="auto" w:sz="6" w:space="0"/>
              <w:bottom w:val="outset" w:color="auto" w:sz="6" w:space="0"/>
              <w:right w:val="outset" w:color="auto" w:sz="6" w:space="0"/>
            </w:tcBorders>
          </w:tcPr>
          <w:p w14:paraId="44A70F9D">
            <w:pPr>
              <w:widowControl w:val="0"/>
              <w:autoSpaceDE w:val="0"/>
              <w:autoSpaceDN w:val="0"/>
              <w:spacing w:before="100" w:beforeAutospacing="0" w:after="0" w:afterAutospacing="0" w:line="276" w:lineRule="auto"/>
              <w:jc w:val="both"/>
              <w:outlineLvl w:val="0"/>
              <w:rPr>
                <w:rFonts w:ascii="Times New Roman" w:hAnsi="Times New Roman" w:eastAsia="Times New Roman" w:cs="Times New Roman"/>
                <w:b/>
                <w:bCs/>
                <w:sz w:val="28"/>
                <w:szCs w:val="28"/>
                <w:lang w:val="en-US" w:eastAsia="ru-RU"/>
              </w:rPr>
            </w:pPr>
            <w:r>
              <w:rPr>
                <w:rFonts w:ascii="Times New Roman" w:hAnsi="Times New Roman" w:eastAsia="Times New Roman" w:cs="Times New Roman"/>
                <w:sz w:val="28"/>
                <w:szCs w:val="28"/>
                <w:lang w:val="en-US" w:eastAsia="ru-RU"/>
              </w:rPr>
              <w:t>0,</w:t>
            </w:r>
            <w:r>
              <w:rPr>
                <w:rFonts w:ascii="Times New Roman" w:hAnsi="Times New Roman" w:eastAsia="Times New Roman" w:cs="Times New Roman"/>
                <w:sz w:val="28"/>
                <w:szCs w:val="28"/>
                <w:lang w:val="en-US"/>
              </w:rPr>
              <w:t>806</w:t>
            </w:r>
          </w:p>
        </w:tc>
        <w:tc>
          <w:tcPr>
            <w:tcW w:w="1226" w:type="dxa"/>
            <w:tcBorders>
              <w:top w:val="nil"/>
              <w:left w:val="outset" w:color="auto" w:sz="6" w:space="0"/>
              <w:bottom w:val="outset" w:color="auto" w:sz="6" w:space="0"/>
              <w:right w:val="outset" w:color="auto" w:sz="6" w:space="0"/>
            </w:tcBorders>
          </w:tcPr>
          <w:p w14:paraId="580EC4D0">
            <w:pPr>
              <w:widowControl w:val="0"/>
              <w:autoSpaceDE w:val="0"/>
              <w:autoSpaceDN w:val="0"/>
              <w:spacing w:before="100" w:beforeAutospacing="0" w:after="0" w:afterAutospacing="0" w:line="276" w:lineRule="auto"/>
              <w:jc w:val="both"/>
              <w:outlineLvl w:val="0"/>
              <w:rPr>
                <w:rFonts w:ascii="Times New Roman" w:hAnsi="Times New Roman" w:eastAsia="Times New Roman" w:cs="Times New Roman"/>
                <w:b/>
                <w:bCs/>
                <w:sz w:val="28"/>
                <w:szCs w:val="28"/>
                <w:lang w:val="en-US" w:eastAsia="ru-RU"/>
              </w:rPr>
            </w:pPr>
            <w:r>
              <w:rPr>
                <w:rFonts w:ascii="Times New Roman" w:hAnsi="Times New Roman" w:eastAsia="Times New Roman" w:cs="Times New Roman"/>
                <w:sz w:val="28"/>
                <w:szCs w:val="28"/>
                <w:lang w:val="en-US" w:eastAsia="ru-RU"/>
              </w:rPr>
              <w:t>0,08</w:t>
            </w:r>
            <w:r>
              <w:rPr>
                <w:rFonts w:ascii="Times New Roman" w:hAnsi="Times New Roman" w:eastAsia="Times New Roman" w:cs="Times New Roman"/>
                <w:sz w:val="28"/>
                <w:szCs w:val="28"/>
                <w:lang w:val="en-US"/>
              </w:rPr>
              <w:t>9</w:t>
            </w:r>
          </w:p>
        </w:tc>
        <w:tc>
          <w:tcPr>
            <w:tcW w:w="1268" w:type="dxa"/>
            <w:tcBorders>
              <w:top w:val="nil"/>
              <w:left w:val="outset" w:color="auto" w:sz="6" w:space="0"/>
              <w:bottom w:val="outset" w:color="auto" w:sz="6" w:space="0"/>
              <w:right w:val="outset" w:color="auto" w:sz="6" w:space="0"/>
            </w:tcBorders>
          </w:tcPr>
          <w:p w14:paraId="49A1440B">
            <w:pPr>
              <w:widowControl w:val="0"/>
              <w:autoSpaceDE w:val="0"/>
              <w:autoSpaceDN w:val="0"/>
              <w:spacing w:before="100" w:beforeAutospacing="0" w:after="0" w:afterAutospacing="0" w:line="276" w:lineRule="auto"/>
              <w:jc w:val="both"/>
              <w:outlineLvl w:val="0"/>
              <w:rPr>
                <w:rFonts w:ascii="Times New Roman" w:hAnsi="Times New Roman" w:eastAsia="Times New Roman" w:cs="Times New Roman"/>
                <w:b/>
                <w:bCs/>
                <w:sz w:val="28"/>
                <w:szCs w:val="28"/>
                <w:lang w:val="en-US" w:eastAsia="ru-RU"/>
              </w:rPr>
            </w:pPr>
            <w:r>
              <w:rPr>
                <w:rFonts w:ascii="Times New Roman" w:hAnsi="Times New Roman" w:eastAsia="Times New Roman" w:cs="Times New Roman"/>
                <w:sz w:val="28"/>
                <w:szCs w:val="28"/>
                <w:lang w:val="en-US" w:eastAsia="ru-RU"/>
              </w:rPr>
              <w:t>0,</w:t>
            </w:r>
            <w:r>
              <w:rPr>
                <w:rFonts w:ascii="Times New Roman" w:hAnsi="Times New Roman" w:eastAsia="Times New Roman" w:cs="Times New Roman"/>
                <w:sz w:val="28"/>
                <w:szCs w:val="28"/>
                <w:lang w:val="en-US"/>
              </w:rPr>
              <w:t>912</w:t>
            </w:r>
          </w:p>
        </w:tc>
      </w:tr>
      <w:tr w14:paraId="3384EF8E">
        <w:tblPrEx>
          <w:tblCellMar>
            <w:top w:w="15" w:type="dxa"/>
            <w:left w:w="15" w:type="dxa"/>
            <w:bottom w:w="15" w:type="dxa"/>
            <w:right w:w="15" w:type="dxa"/>
          </w:tblCellMar>
        </w:tblPrEx>
        <w:trPr>
          <w:trHeight w:val="463" w:hRule="atLeast"/>
        </w:trPr>
        <w:tc>
          <w:tcPr>
            <w:tcW w:w="1783" w:type="dxa"/>
            <w:tcBorders>
              <w:top w:val="nil"/>
              <w:left w:val="outset" w:color="auto" w:sz="6" w:space="0"/>
              <w:bottom w:val="outset" w:color="auto" w:sz="6" w:space="0"/>
              <w:right w:val="outset" w:color="auto" w:sz="6" w:space="0"/>
            </w:tcBorders>
          </w:tcPr>
          <w:p w14:paraId="2EB36638">
            <w:pPr>
              <w:widowControl w:val="0"/>
              <w:autoSpaceDE w:val="0"/>
              <w:autoSpaceDN w:val="0"/>
              <w:spacing w:before="100" w:beforeAutospacing="0" w:after="0" w:afterAutospacing="0" w:line="276" w:lineRule="auto"/>
              <w:jc w:val="both"/>
              <w:outlineLvl w:val="0"/>
              <w:rPr>
                <w:rFonts w:ascii="Times New Roman" w:hAnsi="Times New Roman" w:eastAsia="Times New Roman" w:cs="Times New Roman"/>
                <w:b/>
                <w:bCs/>
                <w:sz w:val="28"/>
                <w:szCs w:val="28"/>
                <w:lang w:val="en-US" w:eastAsia="ru-RU"/>
              </w:rPr>
            </w:pPr>
            <w:r>
              <w:rPr>
                <w:rFonts w:ascii="Times New Roman" w:hAnsi="Times New Roman" w:eastAsia="Times New Roman" w:cs="Times New Roman"/>
                <w:sz w:val="28"/>
                <w:szCs w:val="28"/>
                <w:lang w:val="en-US" w:eastAsia="ru-RU"/>
              </w:rPr>
              <w:t>Ферриттин</w:t>
            </w:r>
          </w:p>
        </w:tc>
        <w:tc>
          <w:tcPr>
            <w:tcW w:w="1226" w:type="dxa"/>
            <w:tcBorders>
              <w:top w:val="nil"/>
              <w:left w:val="outset" w:color="auto" w:sz="6" w:space="0"/>
              <w:bottom w:val="outset" w:color="auto" w:sz="6" w:space="0"/>
              <w:right w:val="outset" w:color="auto" w:sz="6" w:space="0"/>
            </w:tcBorders>
          </w:tcPr>
          <w:p w14:paraId="33654F68">
            <w:pPr>
              <w:widowControl w:val="0"/>
              <w:autoSpaceDE w:val="0"/>
              <w:autoSpaceDN w:val="0"/>
              <w:spacing w:before="100" w:beforeAutospacing="0" w:after="0" w:afterAutospacing="0" w:line="276" w:lineRule="auto"/>
              <w:jc w:val="both"/>
              <w:outlineLvl w:val="0"/>
              <w:rPr>
                <w:rFonts w:ascii="Times New Roman" w:hAnsi="Times New Roman" w:eastAsia="Times New Roman" w:cs="Times New Roman"/>
                <w:b/>
                <w:bCs/>
                <w:sz w:val="28"/>
                <w:szCs w:val="28"/>
                <w:lang w:val="en-US" w:eastAsia="ru-RU"/>
              </w:rPr>
            </w:pPr>
            <w:r>
              <w:rPr>
                <w:rFonts w:ascii="Times New Roman" w:hAnsi="Times New Roman" w:eastAsia="Times New Roman" w:cs="Times New Roman"/>
                <w:b/>
                <w:sz w:val="28"/>
                <w:szCs w:val="28"/>
                <w:lang w:val="en-US" w:eastAsia="ru-RU"/>
              </w:rPr>
              <w:t>0,019</w:t>
            </w:r>
            <w:r>
              <w:rPr>
                <w:rFonts w:ascii="Times New Roman" w:hAnsi="Times New Roman" w:eastAsia="Times New Roman" w:cs="Times New Roman"/>
                <w:b/>
                <w:i/>
                <w:sz w:val="28"/>
                <w:szCs w:val="28"/>
                <w:lang w:val="en-US"/>
              </w:rPr>
              <w:t>*</w:t>
            </w:r>
          </w:p>
        </w:tc>
        <w:tc>
          <w:tcPr>
            <w:tcW w:w="1238" w:type="dxa"/>
            <w:tcBorders>
              <w:top w:val="nil"/>
              <w:left w:val="outset" w:color="auto" w:sz="6" w:space="0"/>
              <w:bottom w:val="outset" w:color="auto" w:sz="6" w:space="0"/>
              <w:right w:val="outset" w:color="auto" w:sz="6" w:space="0"/>
            </w:tcBorders>
          </w:tcPr>
          <w:p w14:paraId="50A4132F">
            <w:pPr>
              <w:widowControl w:val="0"/>
              <w:autoSpaceDE w:val="0"/>
              <w:autoSpaceDN w:val="0"/>
              <w:spacing w:before="100" w:beforeAutospacing="0" w:after="0" w:afterAutospacing="0" w:line="276" w:lineRule="auto"/>
              <w:jc w:val="both"/>
              <w:outlineLvl w:val="0"/>
              <w:rPr>
                <w:rFonts w:ascii="Times New Roman" w:hAnsi="Times New Roman" w:eastAsia="Times New Roman" w:cs="Times New Roman"/>
                <w:b/>
                <w:bCs/>
                <w:sz w:val="28"/>
                <w:szCs w:val="28"/>
                <w:lang w:val="en-US" w:eastAsia="ru-RU"/>
              </w:rPr>
            </w:pPr>
            <w:r>
              <w:rPr>
                <w:rFonts w:ascii="Times New Roman" w:hAnsi="Times New Roman" w:eastAsia="Times New Roman" w:cs="Times New Roman"/>
                <w:b/>
                <w:sz w:val="28"/>
                <w:szCs w:val="28"/>
                <w:lang w:val="en-US" w:eastAsia="ru-RU"/>
              </w:rPr>
              <w:t>0,0</w:t>
            </w:r>
            <w:r>
              <w:rPr>
                <w:rFonts w:ascii="Times New Roman" w:hAnsi="Times New Roman" w:eastAsia="Times New Roman" w:cs="Times New Roman"/>
                <w:b/>
                <w:sz w:val="28"/>
                <w:szCs w:val="28"/>
                <w:lang w:val="en-US"/>
              </w:rPr>
              <w:t>22</w:t>
            </w:r>
            <w:r>
              <w:rPr>
                <w:rFonts w:ascii="Times New Roman" w:hAnsi="Times New Roman" w:eastAsia="Times New Roman" w:cs="Times New Roman"/>
                <w:b/>
                <w:i/>
                <w:sz w:val="28"/>
                <w:szCs w:val="28"/>
                <w:lang w:val="en-US"/>
              </w:rPr>
              <w:t>*</w:t>
            </w:r>
          </w:p>
        </w:tc>
        <w:tc>
          <w:tcPr>
            <w:tcW w:w="1226" w:type="dxa"/>
            <w:tcBorders>
              <w:top w:val="nil"/>
              <w:left w:val="outset" w:color="auto" w:sz="6" w:space="0"/>
              <w:bottom w:val="outset" w:color="auto" w:sz="6" w:space="0"/>
              <w:right w:val="outset" w:color="auto" w:sz="6" w:space="0"/>
            </w:tcBorders>
          </w:tcPr>
          <w:p w14:paraId="4180DA13">
            <w:pPr>
              <w:widowControl w:val="0"/>
              <w:autoSpaceDE w:val="0"/>
              <w:autoSpaceDN w:val="0"/>
              <w:spacing w:before="100" w:beforeAutospacing="0" w:after="0" w:afterAutospacing="0" w:line="276" w:lineRule="auto"/>
              <w:jc w:val="both"/>
              <w:outlineLvl w:val="0"/>
              <w:rPr>
                <w:rFonts w:ascii="Times New Roman" w:hAnsi="Times New Roman" w:eastAsia="Times New Roman" w:cs="Times New Roman"/>
                <w:b/>
                <w:bCs/>
                <w:sz w:val="28"/>
                <w:szCs w:val="28"/>
                <w:lang w:val="en-US" w:eastAsia="ru-RU"/>
              </w:rPr>
            </w:pPr>
            <w:r>
              <w:rPr>
                <w:rFonts w:ascii="Times New Roman" w:hAnsi="Times New Roman" w:eastAsia="Times New Roman" w:cs="Times New Roman"/>
                <w:b/>
                <w:sz w:val="28"/>
                <w:szCs w:val="28"/>
                <w:lang w:val="en-US" w:eastAsia="ru-RU"/>
              </w:rPr>
              <w:t>0,0</w:t>
            </w:r>
            <w:r>
              <w:rPr>
                <w:rFonts w:ascii="Times New Roman" w:hAnsi="Times New Roman" w:eastAsia="Times New Roman" w:cs="Times New Roman"/>
                <w:b/>
                <w:sz w:val="28"/>
                <w:szCs w:val="28"/>
                <w:lang w:val="en-US"/>
              </w:rPr>
              <w:t>09</w:t>
            </w:r>
            <w:r>
              <w:rPr>
                <w:rFonts w:ascii="Times New Roman" w:hAnsi="Times New Roman" w:eastAsia="Times New Roman" w:cs="Times New Roman"/>
                <w:b/>
                <w:i/>
                <w:sz w:val="28"/>
                <w:szCs w:val="28"/>
                <w:lang w:val="en-US"/>
              </w:rPr>
              <w:t>*</w:t>
            </w:r>
          </w:p>
        </w:tc>
        <w:tc>
          <w:tcPr>
            <w:tcW w:w="1238" w:type="dxa"/>
            <w:tcBorders>
              <w:top w:val="nil"/>
              <w:left w:val="outset" w:color="auto" w:sz="6" w:space="0"/>
              <w:bottom w:val="outset" w:color="auto" w:sz="6" w:space="0"/>
              <w:right w:val="outset" w:color="auto" w:sz="6" w:space="0"/>
            </w:tcBorders>
          </w:tcPr>
          <w:p w14:paraId="073AE93E">
            <w:pPr>
              <w:widowControl w:val="0"/>
              <w:autoSpaceDE w:val="0"/>
              <w:autoSpaceDN w:val="0"/>
              <w:spacing w:before="100" w:beforeAutospacing="0" w:after="0" w:afterAutospacing="0" w:line="276" w:lineRule="auto"/>
              <w:jc w:val="both"/>
              <w:outlineLvl w:val="0"/>
              <w:rPr>
                <w:rFonts w:ascii="Times New Roman" w:hAnsi="Times New Roman" w:eastAsia="Times New Roman" w:cs="Times New Roman"/>
                <w:b/>
                <w:bCs/>
                <w:sz w:val="28"/>
                <w:szCs w:val="28"/>
                <w:lang w:val="en-US" w:eastAsia="ru-RU"/>
              </w:rPr>
            </w:pPr>
            <w:r>
              <w:rPr>
                <w:rFonts w:ascii="Times New Roman" w:hAnsi="Times New Roman" w:eastAsia="Times New Roman" w:cs="Times New Roman"/>
                <w:b/>
                <w:sz w:val="28"/>
                <w:szCs w:val="28"/>
                <w:lang w:val="en-US" w:eastAsia="ru-RU"/>
              </w:rPr>
              <w:t>0</w:t>
            </w:r>
            <w:r>
              <w:rPr>
                <w:rFonts w:ascii="Times New Roman" w:hAnsi="Times New Roman" w:eastAsia="Times New Roman" w:cs="Times New Roman"/>
                <w:b/>
                <w:sz w:val="28"/>
                <w:szCs w:val="28"/>
                <w:lang w:val="en-US"/>
              </w:rPr>
              <w:t>,0352</w:t>
            </w:r>
            <w:r>
              <w:rPr>
                <w:rFonts w:ascii="Times New Roman" w:hAnsi="Times New Roman" w:eastAsia="Times New Roman" w:cs="Times New Roman"/>
                <w:b/>
                <w:i/>
                <w:sz w:val="28"/>
                <w:szCs w:val="28"/>
                <w:lang w:val="en-US"/>
              </w:rPr>
              <w:t>*</w:t>
            </w:r>
          </w:p>
        </w:tc>
        <w:tc>
          <w:tcPr>
            <w:tcW w:w="1226" w:type="dxa"/>
            <w:tcBorders>
              <w:top w:val="nil"/>
              <w:left w:val="outset" w:color="auto" w:sz="6" w:space="0"/>
              <w:bottom w:val="outset" w:color="auto" w:sz="6" w:space="0"/>
              <w:right w:val="outset" w:color="auto" w:sz="6" w:space="0"/>
            </w:tcBorders>
          </w:tcPr>
          <w:p w14:paraId="7A1296EF">
            <w:pPr>
              <w:widowControl w:val="0"/>
              <w:autoSpaceDE w:val="0"/>
              <w:autoSpaceDN w:val="0"/>
              <w:spacing w:before="100" w:beforeAutospacing="0" w:after="0" w:afterAutospacing="0" w:line="276" w:lineRule="auto"/>
              <w:jc w:val="both"/>
              <w:outlineLvl w:val="0"/>
              <w:rPr>
                <w:rFonts w:ascii="Times New Roman" w:hAnsi="Times New Roman" w:eastAsia="Times New Roman" w:cs="Times New Roman"/>
                <w:b/>
                <w:bCs/>
                <w:sz w:val="28"/>
                <w:szCs w:val="28"/>
                <w:lang w:val="en-US" w:eastAsia="ru-RU"/>
              </w:rPr>
            </w:pPr>
            <w:r>
              <w:rPr>
                <w:rFonts w:ascii="Times New Roman" w:hAnsi="Times New Roman" w:eastAsia="Times New Roman" w:cs="Times New Roman"/>
                <w:bCs/>
                <w:sz w:val="28"/>
                <w:szCs w:val="28"/>
                <w:lang w:val="en-US" w:eastAsia="ru-RU"/>
              </w:rPr>
              <w:t>0,0</w:t>
            </w:r>
            <w:r>
              <w:rPr>
                <w:rFonts w:ascii="Times New Roman" w:hAnsi="Times New Roman" w:eastAsia="Times New Roman" w:cs="Times New Roman"/>
                <w:bCs/>
                <w:sz w:val="28"/>
                <w:szCs w:val="28"/>
                <w:lang w:val="en-US"/>
              </w:rPr>
              <w:t>62</w:t>
            </w:r>
          </w:p>
        </w:tc>
        <w:tc>
          <w:tcPr>
            <w:tcW w:w="1268" w:type="dxa"/>
            <w:tcBorders>
              <w:top w:val="nil"/>
              <w:left w:val="outset" w:color="auto" w:sz="6" w:space="0"/>
              <w:bottom w:val="outset" w:color="auto" w:sz="6" w:space="0"/>
              <w:right w:val="outset" w:color="auto" w:sz="6" w:space="0"/>
            </w:tcBorders>
          </w:tcPr>
          <w:p w14:paraId="36353D7F">
            <w:pPr>
              <w:widowControl w:val="0"/>
              <w:autoSpaceDE w:val="0"/>
              <w:autoSpaceDN w:val="0"/>
              <w:spacing w:before="100" w:beforeAutospacing="0" w:after="0" w:afterAutospacing="0" w:line="276" w:lineRule="auto"/>
              <w:jc w:val="both"/>
              <w:outlineLvl w:val="0"/>
              <w:rPr>
                <w:rFonts w:ascii="Times New Roman" w:hAnsi="Times New Roman" w:eastAsia="Times New Roman" w:cs="Times New Roman"/>
                <w:b/>
                <w:bCs/>
                <w:sz w:val="28"/>
                <w:szCs w:val="28"/>
                <w:lang w:val="en-US" w:eastAsia="ru-RU"/>
              </w:rPr>
            </w:pPr>
            <w:r>
              <w:rPr>
                <w:rFonts w:ascii="Times New Roman" w:hAnsi="Times New Roman" w:eastAsia="Times New Roman" w:cs="Times New Roman"/>
                <w:b/>
                <w:sz w:val="28"/>
                <w:szCs w:val="28"/>
                <w:lang w:val="en-US" w:eastAsia="ru-RU"/>
              </w:rPr>
              <w:t>0,0</w:t>
            </w:r>
            <w:r>
              <w:rPr>
                <w:rFonts w:ascii="Times New Roman" w:hAnsi="Times New Roman" w:eastAsia="Times New Roman" w:cs="Times New Roman"/>
                <w:b/>
                <w:sz w:val="28"/>
                <w:szCs w:val="28"/>
                <w:lang w:val="en-US"/>
              </w:rPr>
              <w:t>47</w:t>
            </w:r>
            <w:r>
              <w:rPr>
                <w:rFonts w:ascii="Times New Roman" w:hAnsi="Times New Roman" w:eastAsia="Times New Roman" w:cs="Times New Roman"/>
                <w:b/>
                <w:i/>
                <w:sz w:val="28"/>
                <w:szCs w:val="28"/>
                <w:lang w:val="en-US"/>
              </w:rPr>
              <w:t>*</w:t>
            </w:r>
          </w:p>
        </w:tc>
      </w:tr>
      <w:tr w14:paraId="554D1845">
        <w:tblPrEx>
          <w:tblCellMar>
            <w:top w:w="15" w:type="dxa"/>
            <w:left w:w="15" w:type="dxa"/>
            <w:bottom w:w="15" w:type="dxa"/>
            <w:right w:w="15" w:type="dxa"/>
          </w:tblCellMar>
        </w:tblPrEx>
        <w:trPr>
          <w:trHeight w:val="948" w:hRule="atLeast"/>
        </w:trPr>
        <w:tc>
          <w:tcPr>
            <w:tcW w:w="9208" w:type="dxa"/>
            <w:gridSpan w:val="7"/>
            <w:tcBorders>
              <w:top w:val="nil"/>
              <w:left w:val="outset" w:color="auto" w:sz="6" w:space="0"/>
              <w:bottom w:val="outset" w:color="auto" w:sz="6" w:space="0"/>
              <w:right w:val="outset" w:color="auto" w:sz="6" w:space="0"/>
            </w:tcBorders>
          </w:tcPr>
          <w:p w14:paraId="0DE6D9D4">
            <w:pPr>
              <w:widowControl w:val="0"/>
              <w:autoSpaceDE w:val="0"/>
              <w:autoSpaceDN w:val="0"/>
              <w:spacing w:before="100" w:beforeAutospacing="0" w:after="0" w:afterAutospacing="0" w:line="276" w:lineRule="auto"/>
              <w:jc w:val="both"/>
              <w:outlineLvl w:val="0"/>
              <w:rPr>
                <w:rFonts w:ascii="Times New Roman" w:hAnsi="Times New Roman" w:eastAsia="Times New Roman" w:cs="Times New Roman"/>
                <w:i/>
                <w:sz w:val="28"/>
                <w:szCs w:val="28"/>
                <w:lang w:val="en-US" w:eastAsia="ru-RU"/>
              </w:rPr>
            </w:pPr>
            <w:r>
              <w:rPr>
                <w:rFonts w:ascii="Times New Roman" w:hAnsi="Times New Roman" w:eastAsia="Times New Roman" w:cs="Times New Roman"/>
                <w:sz w:val="28"/>
                <w:szCs w:val="28"/>
                <w:lang w:val="en-US" w:eastAsia="ru-RU"/>
              </w:rPr>
              <w:t>*–</w:t>
            </w:r>
            <w:r>
              <w:rPr>
                <w:rFonts w:ascii="Times New Roman" w:hAnsi="Times New Roman" w:eastAsia="Times New Roman" w:cs="Times New Roman"/>
                <w:sz w:val="28"/>
                <w:szCs w:val="28"/>
                <w:lang w:val="en-US"/>
              </w:rPr>
              <w:tab/>
            </w:r>
            <w:r>
              <w:rPr>
                <w:rFonts w:ascii="Times New Roman" w:hAnsi="Times New Roman" w:eastAsia="Times New Roman" w:cs="Times New Roman"/>
                <w:i/>
                <w:iCs/>
                <w:sz w:val="28"/>
                <w:szCs w:val="28"/>
                <w:lang w:val="en-US"/>
              </w:rPr>
              <w:t xml:space="preserve">Мана–Уитни </w:t>
            </w:r>
            <w:r>
              <w:rPr>
                <w:rFonts w:ascii="Times New Roman" w:hAnsi="Times New Roman" w:eastAsia="Times New Roman" w:cs="Times New Roman"/>
                <w:i/>
                <w:sz w:val="28"/>
                <w:szCs w:val="28"/>
                <w:lang w:val="en-US"/>
              </w:rPr>
              <w:tab/>
            </w:r>
            <w:r>
              <w:rPr>
                <w:rFonts w:ascii="Times New Roman" w:hAnsi="Times New Roman" w:eastAsia="Times New Roman" w:cs="Times New Roman"/>
                <w:i/>
                <w:sz w:val="28"/>
                <w:szCs w:val="28"/>
                <w:lang w:val="en-US"/>
              </w:rPr>
              <w:t>параметрлік</w:t>
            </w:r>
            <w:r>
              <w:rPr>
                <w:rFonts w:ascii="Times New Roman" w:hAnsi="Times New Roman" w:eastAsia="Times New Roman" w:cs="Times New Roman"/>
                <w:i/>
                <w:sz w:val="28"/>
                <w:szCs w:val="28"/>
                <w:lang w:val="en-US"/>
              </w:rPr>
              <w:tab/>
            </w:r>
            <w:r>
              <w:rPr>
                <w:rFonts w:ascii="Times New Roman" w:hAnsi="Times New Roman" w:eastAsia="Times New Roman" w:cs="Times New Roman"/>
                <w:i/>
                <w:sz w:val="28"/>
                <w:szCs w:val="28"/>
                <w:lang w:val="en-US"/>
              </w:rPr>
              <w:t>емес</w:t>
            </w:r>
            <w:r>
              <w:rPr>
                <w:rFonts w:ascii="Times New Roman" w:hAnsi="Times New Roman" w:eastAsia="Times New Roman" w:cs="Times New Roman"/>
                <w:i/>
                <w:sz w:val="28"/>
                <w:szCs w:val="28"/>
                <w:lang w:val="en-US"/>
              </w:rPr>
              <w:tab/>
            </w:r>
            <w:r>
              <w:rPr>
                <w:rFonts w:ascii="Times New Roman" w:hAnsi="Times New Roman" w:eastAsia="Times New Roman" w:cs="Times New Roman"/>
                <w:i/>
                <w:sz w:val="28"/>
                <w:szCs w:val="28"/>
                <w:lang w:val="en-US"/>
              </w:rPr>
              <w:t>Z критерий</w:t>
            </w:r>
            <w:r>
              <w:rPr>
                <w:rFonts w:ascii="Times New Roman" w:hAnsi="Times New Roman" w:eastAsia="Times New Roman" w:cs="Times New Roman"/>
                <w:i/>
                <w:sz w:val="28"/>
                <w:szCs w:val="28"/>
                <w:lang w:val="en-US"/>
              </w:rPr>
              <w:tab/>
            </w:r>
            <w:r>
              <w:rPr>
                <w:rFonts w:ascii="Times New Roman" w:hAnsi="Times New Roman" w:eastAsia="Times New Roman" w:cs="Times New Roman"/>
                <w:i/>
                <w:sz w:val="28"/>
                <w:szCs w:val="28"/>
                <w:lang w:val="en-US"/>
              </w:rPr>
              <w:t>бойынша</w:t>
            </w:r>
          </w:p>
          <w:p w14:paraId="6C3F592E">
            <w:pPr>
              <w:widowControl w:val="0"/>
              <w:autoSpaceDE w:val="0"/>
              <w:autoSpaceDN w:val="0"/>
              <w:spacing w:before="100" w:beforeAutospacing="0" w:after="0" w:afterAutospacing="0" w:line="276" w:lineRule="auto"/>
              <w:jc w:val="both"/>
              <w:outlineLvl w:val="0"/>
              <w:rPr>
                <w:rFonts w:ascii="Times New Roman" w:hAnsi="Times New Roman" w:eastAsia="Times New Roman" w:cs="Times New Roman"/>
                <w:b/>
                <w:bCs/>
                <w:sz w:val="28"/>
                <w:szCs w:val="28"/>
                <w:lang w:val="en-US" w:eastAsia="ru-RU"/>
              </w:rPr>
            </w:pPr>
            <w:r>
              <w:rPr>
                <w:rFonts w:ascii="Times New Roman" w:hAnsi="Times New Roman" w:eastAsia="Times New Roman" w:cs="Times New Roman"/>
                <w:i/>
                <w:sz w:val="28"/>
                <w:szCs w:val="28"/>
                <w:lang w:val="en-US" w:eastAsia="ru-RU"/>
              </w:rPr>
              <w:t>айырмашылығы,</w:t>
            </w:r>
            <w:r>
              <w:rPr>
                <w:rFonts w:ascii="Times New Roman" w:hAnsi="Times New Roman" w:eastAsia="Times New Roman" w:cs="Times New Roman"/>
                <w:i/>
                <w:sz w:val="28"/>
                <w:szCs w:val="28"/>
                <w:lang w:val="en-US"/>
              </w:rPr>
              <w:t xml:space="preserve"> кө</w:t>
            </w:r>
            <w:r>
              <w:rPr>
                <w:rFonts w:ascii="Times New Roman" w:hAnsi="Times New Roman" w:eastAsia="Times New Roman" w:cs="Times New Roman"/>
                <w:i/>
                <w:sz w:val="28"/>
                <w:szCs w:val="28"/>
                <w:lang w:val="en-US" w:eastAsia="ru-RU"/>
              </w:rPr>
              <w:t>рсеткіштердің өзгеру</w:t>
            </w:r>
            <w:r>
              <w:rPr>
                <w:rFonts w:ascii="Times New Roman" w:hAnsi="Times New Roman" w:eastAsia="Times New Roman" w:cs="Times New Roman"/>
                <w:i/>
                <w:sz w:val="28"/>
                <w:szCs w:val="28"/>
                <w:lang w:val="en-US"/>
              </w:rPr>
              <w:t xml:space="preserve"> растығ</w:t>
            </w:r>
            <w:r>
              <w:rPr>
                <w:rFonts w:ascii="Times New Roman" w:hAnsi="Times New Roman" w:eastAsia="Times New Roman" w:cs="Times New Roman"/>
                <w:i/>
                <w:sz w:val="28"/>
                <w:szCs w:val="28"/>
                <w:lang w:val="en-US" w:eastAsia="ru-RU"/>
              </w:rPr>
              <w:t>ы</w:t>
            </w:r>
            <w:r>
              <w:rPr>
                <w:rFonts w:ascii="Times New Roman" w:hAnsi="Times New Roman" w:eastAsia="Times New Roman" w:cs="Times New Roman"/>
                <w:i/>
                <w:sz w:val="28"/>
                <w:szCs w:val="28"/>
                <w:lang w:val="en-US"/>
              </w:rPr>
              <w:t xml:space="preserve"> кезінде p &lt; 0.05</w:t>
            </w:r>
          </w:p>
        </w:tc>
      </w:tr>
    </w:tbl>
    <w:p w14:paraId="09A8F1E7">
      <w:pPr>
        <w:widowControl w:val="0"/>
        <w:autoSpaceDE w:val="0"/>
        <w:autoSpaceDN w:val="0"/>
        <w:spacing w:after="0" w:line="276" w:lineRule="auto"/>
        <w:ind w:firstLine="709"/>
        <w:jc w:val="both"/>
        <w:outlineLvl w:val="0"/>
        <w:rPr>
          <w:rFonts w:ascii="Times New Roman" w:hAnsi="Times New Roman" w:eastAsia="Times New Roman" w:cs="Times New Roman"/>
          <w:b/>
          <w:bCs/>
          <w:sz w:val="28"/>
          <w:szCs w:val="28"/>
          <w:lang w:eastAsia="ru-RU"/>
        </w:rPr>
      </w:pPr>
      <w:r>
        <w:rPr>
          <w:rFonts w:ascii="Times New Roman" w:hAnsi="Times New Roman" w:eastAsia="Times New Roman" w:cs="Times New Roman"/>
          <w:b/>
          <w:bCs/>
          <w:sz w:val="28"/>
          <w:szCs w:val="28"/>
          <w:lang w:eastAsia="ru-RU"/>
        </w:rPr>
        <w:t xml:space="preserve"> </w:t>
      </w:r>
    </w:p>
    <w:p w14:paraId="3154CE6F">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Соңғы зерттеулер денеде майлы тіндердің шамадан тыс болуы қандағы гепсидин деңгейінің жоғарылауына әсер ететінін және оның нәтижесінде темір метаболизмінің бұзылуына алып келетінін көрсетеді [181]. Бұл жағдай темірдің  арқылы сіңуін төмендетіп, темір гомеостазының бұзылуына ықпал етеді. Сонымен қатар, майлы тіндерден бөлінетін қабыну медиаторлары (мысалы, интерлейкин-6) гепсидин синтезін күшейтеді, бұл өз кезегінде ағзада темірдің реттелуіне кері әсер етеді. Осыған байланысты, темірдің қосымша дозасын қабылдау жағдайында да оның тиімді сіңірілуі шектелуі мүмкін.</w:t>
      </w:r>
    </w:p>
    <w:p w14:paraId="1D8055E9">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Біздің зерттеу нәтижелері жоғарыда сипатталған патогенетикалық механизмді растайды. Атап айтқанда, гепсидин деңгейі семіздігі бар жүкті әйелдерде (3 және 4 топтар) бақылау тобына (1-топ) қарағанда едәуір жоғары екені анықталды. Бұл статистикалық маңызды айырмашылықтар гепсидиннің семіздік жағдайында темір метаболизмінің бұзылуының маңызды биомаркері екенін көрсетеді.</w:t>
      </w:r>
    </w:p>
    <w:p w14:paraId="5F6CA076">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Бұл механизмді тереңірек түсіну және оның анемиямен байланысын анықтау үшін жүктілердегі қабыну маркерлерінің деңгейін зерттеу жүргізілді. Қабыну маркерлерінің жоғарылауы семіздік пен анемияның қосарланған әсерін одан әрі күшейтіп, темір метаболизміне жанама әсер ететіні белгілі. Зерттеу барысында қабыну процестерінің және олардың темір алмасуындағы рөлі туралы нақты деректер алынғанын атап өту маңызды.</w:t>
      </w:r>
    </w:p>
    <w:p w14:paraId="6554C062">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 </w:t>
      </w:r>
    </w:p>
    <w:p w14:paraId="7F65508E">
      <w:pPr>
        <w:widowControl w:val="0"/>
        <w:autoSpaceDE w:val="0"/>
        <w:autoSpaceDN w:val="0"/>
        <w:spacing w:after="0" w:line="276" w:lineRule="auto"/>
        <w:ind w:firstLine="709"/>
        <w:jc w:val="both"/>
        <w:outlineLvl w:val="0"/>
        <w:rPr>
          <w:rFonts w:ascii="Times New Roman" w:hAnsi="Times New Roman" w:eastAsia="Times New Roman" w:cs="Times New Roman"/>
          <w:b/>
          <w:bCs/>
          <w:sz w:val="28"/>
          <w:szCs w:val="28"/>
          <w:lang w:eastAsia="ru-RU"/>
        </w:rPr>
      </w:pPr>
      <w:r>
        <w:rPr>
          <w:rFonts w:ascii="Times New Roman" w:hAnsi="Times New Roman" w:eastAsia="Times New Roman" w:cs="Times New Roman"/>
          <w:b/>
          <w:sz w:val="28"/>
          <w:szCs w:val="28"/>
          <w:lang w:eastAsia="ru-RU"/>
        </w:rPr>
        <w:t>3.3</w:t>
      </w:r>
      <w:r>
        <w:rPr>
          <w:rFonts w:ascii="Times New Roman" w:hAnsi="Times New Roman" w:eastAsia="Times New Roman" w:cs="Times New Roman"/>
          <w:sz w:val="28"/>
          <w:szCs w:val="28"/>
          <w:lang w:eastAsia="ru-RU"/>
        </w:rPr>
        <w:t xml:space="preserve"> </w:t>
      </w:r>
      <w:r>
        <w:rPr>
          <w:rFonts w:ascii="Times New Roman" w:hAnsi="Times New Roman" w:eastAsia="Times New Roman" w:cs="Times New Roman"/>
          <w:b/>
          <w:bCs/>
          <w:sz w:val="28"/>
          <w:szCs w:val="28"/>
          <w:lang w:eastAsia="ru-RU"/>
        </w:rPr>
        <w:t>Жүктілікке дейінгі семіздігі бар жүктілерде анемия дамуында қабыну медиаторларының (интерлейкин–6, C–реактивті ақуыз) маркерлерінің болжамдылық маңыздылығы</w:t>
      </w:r>
    </w:p>
    <w:p w14:paraId="6CD0596F">
      <w:pPr>
        <w:widowControl w:val="0"/>
        <w:autoSpaceDE w:val="0"/>
        <w:autoSpaceDN w:val="0"/>
        <w:spacing w:after="0" w:line="276" w:lineRule="auto"/>
        <w:ind w:firstLine="709"/>
        <w:jc w:val="both"/>
        <w:outlineLvl w:val="0"/>
        <w:rPr>
          <w:rFonts w:ascii="Times New Roman" w:hAnsi="Times New Roman" w:eastAsia="Times New Roman" w:cs="Times New Roman"/>
          <w:b/>
          <w:bCs/>
          <w:sz w:val="28"/>
          <w:szCs w:val="28"/>
          <w:lang w:eastAsia="ru-RU"/>
        </w:rPr>
      </w:pPr>
      <w:r>
        <w:rPr>
          <w:rFonts w:ascii="Times New Roman" w:hAnsi="Times New Roman" w:eastAsia="Times New Roman" w:cs="Times New Roman"/>
          <w:b/>
          <w:bCs/>
          <w:sz w:val="28"/>
          <w:szCs w:val="28"/>
          <w:lang w:eastAsia="ru-RU"/>
        </w:rPr>
        <w:t xml:space="preserve"> </w:t>
      </w:r>
    </w:p>
    <w:p w14:paraId="1003EF4A">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Зерттеу барысында топтар арасында ИЛ–6 және С</w:t>
      </w:r>
      <w:r>
        <w:rPr>
          <w:rFonts w:ascii="Times New Roman" w:hAnsi="Times New Roman" w:eastAsia="Times New Roman" w:cs="Times New Roman"/>
          <w:sz w:val="28"/>
          <w:szCs w:val="28"/>
          <w:lang w:val="kk-KZ" w:eastAsia="ru-RU"/>
        </w:rPr>
        <w:t>РА</w:t>
      </w:r>
      <w:r>
        <w:rPr>
          <w:rFonts w:ascii="Times New Roman" w:hAnsi="Times New Roman" w:eastAsia="Times New Roman" w:cs="Times New Roman"/>
          <w:sz w:val="28"/>
          <w:szCs w:val="28"/>
          <w:lang w:eastAsia="ru-RU"/>
        </w:rPr>
        <w:t xml:space="preserve"> сияқты қабыну медиаторларының деңгейлері зерттелді. Топтар арасындағы жалпы айырмашылықты анықтау үшін Краскел–Уоллис сынамасы қолданылды. Нәтижесінде, екі көрсеткіш бойынша да статистикалық маңызды айырмашылықтар тіркелді (p &lt; 0.05). Нәтижелер 12-кестеде берілген. СРА деңгейі ең жоғары көрсеткішті анемия және семіздік қатар кездескен топта (4-топ) көрсетті, медиана мәні – 12,37. Бұл бақылау тобымен салыстырғанда 22%-ға жоғары (H=18,054, p=0,0004). Анемиялық топта (2-топ) СРА деңгейі бақылау тобына қарағанда төмен болғаны анықталды. Ескертуге тұрарлық жағдай: тек семіздігі бар жүкті әйелдер тобында (3-топ) СРА деңгейі бақылау тобынан статистикалық маңызды жоғары болмады.</w:t>
      </w:r>
    </w:p>
    <w:p w14:paraId="01FF9605">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ИЛ-6 деңгейі семіздігі бар жүкті әйелдерде (3 және 4 топтар) бақылау тобымен салыстырғанда 2–2,5 есе жоғары болғаны анықталды. Топтар арасындағы айырмашылық статистикалық маңызды болды (H=35,896, p=0,0000). Бұл нәтижелер ИЛ-6-ның семіздікке байланысты қабыну процестерінің белсенділігін арттыруда маңызды рөл атқаратынын дәлелдейді.</w:t>
      </w:r>
    </w:p>
    <w:p w14:paraId="452AF0C5">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p>
    <w:p w14:paraId="1B637CD4">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p>
    <w:p w14:paraId="52B89187">
      <w:pPr>
        <w:widowControl w:val="0"/>
        <w:autoSpaceDE w:val="0"/>
        <w:autoSpaceDN w:val="0"/>
        <w:spacing w:after="0" w:line="276" w:lineRule="auto"/>
        <w:ind w:firstLine="709"/>
        <w:jc w:val="both"/>
        <w:outlineLvl w:val="0"/>
        <w:rPr>
          <w:rFonts w:ascii="Times New Roman" w:hAnsi="Times New Roman" w:eastAsia="Times New Roman" w:cs="Times New Roman"/>
          <w:iCs/>
          <w:sz w:val="28"/>
          <w:szCs w:val="28"/>
          <w:lang w:eastAsia="ru-RU"/>
        </w:rPr>
      </w:pPr>
      <w:r>
        <w:rPr>
          <w:rFonts w:ascii="Times New Roman" w:hAnsi="Times New Roman" w:eastAsia="Times New Roman" w:cs="Times New Roman"/>
          <w:iCs/>
          <w:sz w:val="28"/>
          <w:szCs w:val="28"/>
          <w:lang w:eastAsia="ru-RU"/>
        </w:rPr>
        <w:t>Кесте – 12. Қабыну</w:t>
      </w:r>
      <w:r>
        <w:rPr>
          <w:rFonts w:ascii="Times New Roman" w:hAnsi="Times New Roman" w:eastAsia="Times New Roman" w:cs="Times New Roman"/>
          <w:b/>
          <w:bCs/>
          <w:iCs/>
          <w:sz w:val="28"/>
          <w:szCs w:val="28"/>
          <w:lang w:eastAsia="ru-RU"/>
        </w:rPr>
        <w:t xml:space="preserve"> </w:t>
      </w:r>
      <w:r>
        <w:rPr>
          <w:rFonts w:ascii="Times New Roman" w:hAnsi="Times New Roman" w:eastAsia="Times New Roman" w:cs="Times New Roman"/>
          <w:iCs/>
          <w:sz w:val="28"/>
          <w:szCs w:val="28"/>
          <w:lang w:eastAsia="ru-RU"/>
        </w:rPr>
        <w:t>маркерлерінің зерттеу топтары арасындағы айырмашылығы</w:t>
      </w:r>
    </w:p>
    <w:p w14:paraId="0DB3D0F2">
      <w:pPr>
        <w:widowControl w:val="0"/>
        <w:autoSpaceDE w:val="0"/>
        <w:autoSpaceDN w:val="0"/>
        <w:spacing w:after="0" w:line="276" w:lineRule="auto"/>
        <w:ind w:firstLine="709"/>
        <w:jc w:val="both"/>
        <w:outlineLvl w:val="0"/>
        <w:rPr>
          <w:rFonts w:ascii="Times New Roman" w:hAnsi="Times New Roman" w:eastAsia="Times New Roman" w:cs="Times New Roman"/>
          <w:iCs/>
          <w:sz w:val="28"/>
          <w:szCs w:val="28"/>
          <w:lang w:eastAsia="ru-RU"/>
        </w:rPr>
      </w:pPr>
    </w:p>
    <w:tbl>
      <w:tblPr>
        <w:tblStyle w:val="5"/>
        <w:tblW w:w="0" w:type="auto"/>
        <w:tblInd w:w="0" w:type="dxa"/>
        <w:tblLayout w:type="fixed"/>
        <w:tblCellMar>
          <w:top w:w="15" w:type="dxa"/>
          <w:left w:w="15" w:type="dxa"/>
          <w:bottom w:w="15" w:type="dxa"/>
          <w:right w:w="15" w:type="dxa"/>
        </w:tblCellMar>
      </w:tblPr>
      <w:tblGrid>
        <w:gridCol w:w="1611"/>
        <w:gridCol w:w="444"/>
        <w:gridCol w:w="444"/>
        <w:gridCol w:w="445"/>
        <w:gridCol w:w="445"/>
        <w:gridCol w:w="445"/>
        <w:gridCol w:w="445"/>
        <w:gridCol w:w="445"/>
        <w:gridCol w:w="445"/>
        <w:gridCol w:w="445"/>
        <w:gridCol w:w="445"/>
        <w:gridCol w:w="445"/>
        <w:gridCol w:w="992"/>
        <w:gridCol w:w="1089"/>
        <w:gridCol w:w="800"/>
      </w:tblGrid>
      <w:tr w14:paraId="081EE8B2">
        <w:tblPrEx>
          <w:tblCellMar>
            <w:top w:w="15" w:type="dxa"/>
            <w:left w:w="15" w:type="dxa"/>
            <w:bottom w:w="15" w:type="dxa"/>
            <w:right w:w="15" w:type="dxa"/>
          </w:tblCellMar>
        </w:tblPrEx>
        <w:tc>
          <w:tcPr>
            <w:tcW w:w="1611" w:type="dxa"/>
            <w:vMerge w:val="restart"/>
            <w:tcBorders>
              <w:top w:val="outset" w:color="auto" w:sz="6" w:space="0"/>
              <w:left w:val="outset" w:color="auto" w:sz="6" w:space="0"/>
              <w:right w:val="outset" w:color="auto" w:sz="6" w:space="0"/>
            </w:tcBorders>
          </w:tcPr>
          <w:p w14:paraId="466392C7">
            <w:pPr>
              <w:widowControl w:val="0"/>
              <w:autoSpaceDE w:val="0"/>
              <w:autoSpaceDN w:val="0"/>
              <w:spacing w:after="0" w:line="276" w:lineRule="auto"/>
              <w:jc w:val="both"/>
              <w:outlineLvl w:val="0"/>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Pr>
              <w:t>Маркерлер</w:t>
            </w:r>
          </w:p>
        </w:tc>
        <w:tc>
          <w:tcPr>
            <w:tcW w:w="1333" w:type="dxa"/>
            <w:gridSpan w:val="3"/>
            <w:tcBorders>
              <w:top w:val="outset" w:color="auto" w:sz="6" w:space="0"/>
              <w:left w:val="outset" w:color="auto" w:sz="6" w:space="0"/>
              <w:bottom w:val="outset" w:color="auto" w:sz="6" w:space="0"/>
              <w:right w:val="outset" w:color="auto" w:sz="6" w:space="0"/>
            </w:tcBorders>
          </w:tcPr>
          <w:p w14:paraId="7502C557">
            <w:pPr>
              <w:widowControl w:val="0"/>
              <w:autoSpaceDE w:val="0"/>
              <w:autoSpaceDN w:val="0"/>
              <w:spacing w:after="0" w:line="276" w:lineRule="auto"/>
              <w:jc w:val="both"/>
              <w:outlineLvl w:val="0"/>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Pr>
              <w:t>Бақылау</w:t>
            </w:r>
          </w:p>
          <w:p w14:paraId="06598DC6">
            <w:pPr>
              <w:widowControl w:val="0"/>
              <w:autoSpaceDE w:val="0"/>
              <w:autoSpaceDN w:val="0"/>
              <w:spacing w:after="0" w:line="276" w:lineRule="auto"/>
              <w:jc w:val="both"/>
              <w:outlineLvl w:val="0"/>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Pr>
              <w:t>тобы</w:t>
            </w:r>
          </w:p>
        </w:tc>
        <w:tc>
          <w:tcPr>
            <w:tcW w:w="4552" w:type="dxa"/>
            <w:gridSpan w:val="9"/>
            <w:tcBorders>
              <w:top w:val="outset" w:color="auto" w:sz="6" w:space="0"/>
              <w:left w:val="outset" w:color="auto" w:sz="6" w:space="0"/>
              <w:bottom w:val="outset" w:color="auto" w:sz="6" w:space="0"/>
              <w:right w:val="outset" w:color="auto" w:sz="6" w:space="0"/>
            </w:tcBorders>
          </w:tcPr>
          <w:p w14:paraId="34A09F73">
            <w:pPr>
              <w:widowControl w:val="0"/>
              <w:autoSpaceDE w:val="0"/>
              <w:autoSpaceDN w:val="0"/>
              <w:spacing w:after="0" w:line="276" w:lineRule="auto"/>
              <w:jc w:val="both"/>
              <w:outlineLvl w:val="0"/>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Pr>
              <w:t>Негізгі топтар</w:t>
            </w:r>
          </w:p>
        </w:tc>
        <w:tc>
          <w:tcPr>
            <w:tcW w:w="1089" w:type="dxa"/>
            <w:vMerge w:val="restart"/>
            <w:tcBorders>
              <w:top w:val="outset" w:color="auto" w:sz="6" w:space="0"/>
              <w:left w:val="outset" w:color="auto" w:sz="6" w:space="0"/>
              <w:right w:val="outset" w:color="auto" w:sz="6" w:space="0"/>
            </w:tcBorders>
          </w:tcPr>
          <w:p w14:paraId="1111D34D">
            <w:pPr>
              <w:widowControl w:val="0"/>
              <w:autoSpaceDE w:val="0"/>
              <w:autoSpaceDN w:val="0"/>
              <w:spacing w:after="0" w:line="276" w:lineRule="auto"/>
              <w:jc w:val="both"/>
              <w:outlineLvl w:val="0"/>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Pr>
              <w:t>Kruskal–Wallis test (H)</w:t>
            </w:r>
          </w:p>
        </w:tc>
        <w:tc>
          <w:tcPr>
            <w:tcW w:w="800" w:type="dxa"/>
            <w:vMerge w:val="restart"/>
            <w:tcBorders>
              <w:top w:val="outset" w:color="auto" w:sz="6" w:space="0"/>
              <w:left w:val="outset" w:color="auto" w:sz="6" w:space="0"/>
              <w:right w:val="outset" w:color="auto" w:sz="6" w:space="0"/>
            </w:tcBorders>
          </w:tcPr>
          <w:p w14:paraId="73E3E040">
            <w:pPr>
              <w:widowControl w:val="0"/>
              <w:autoSpaceDE w:val="0"/>
              <w:autoSpaceDN w:val="0"/>
              <w:spacing w:after="0" w:line="276" w:lineRule="auto"/>
              <w:jc w:val="both"/>
              <w:outlineLvl w:val="0"/>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Pr>
              <w:t>p–level</w:t>
            </w:r>
          </w:p>
        </w:tc>
      </w:tr>
      <w:tr w14:paraId="01DFA959">
        <w:tblPrEx>
          <w:tblCellMar>
            <w:top w:w="15" w:type="dxa"/>
            <w:left w:w="15" w:type="dxa"/>
            <w:bottom w:w="15" w:type="dxa"/>
            <w:right w:w="15" w:type="dxa"/>
          </w:tblCellMar>
        </w:tblPrEx>
        <w:tc>
          <w:tcPr>
            <w:tcW w:w="1611" w:type="dxa"/>
            <w:vMerge w:val="continue"/>
            <w:tcBorders>
              <w:left w:val="outset" w:color="auto" w:sz="6" w:space="0"/>
              <w:right w:val="outset" w:color="auto" w:sz="6" w:space="0"/>
            </w:tcBorders>
          </w:tcPr>
          <w:p w14:paraId="24D1A871">
            <w:pPr>
              <w:widowControl w:val="0"/>
              <w:autoSpaceDE w:val="0"/>
              <w:autoSpaceDN w:val="0"/>
              <w:spacing w:after="0" w:line="276" w:lineRule="auto"/>
              <w:jc w:val="both"/>
              <w:outlineLvl w:val="0"/>
              <w:rPr>
                <w:rFonts w:ascii="Times New Roman" w:hAnsi="Times New Roman" w:eastAsia="Times New Roman" w:cs="Times New Roman"/>
                <w:b/>
                <w:bCs/>
                <w:sz w:val="28"/>
                <w:szCs w:val="28"/>
              </w:rPr>
            </w:pPr>
          </w:p>
        </w:tc>
        <w:tc>
          <w:tcPr>
            <w:tcW w:w="1333" w:type="dxa"/>
            <w:gridSpan w:val="3"/>
            <w:tcBorders>
              <w:top w:val="outset" w:color="auto" w:sz="6" w:space="0"/>
              <w:left w:val="outset" w:color="auto" w:sz="6" w:space="0"/>
              <w:bottom w:val="outset" w:color="auto" w:sz="6" w:space="0"/>
              <w:right w:val="outset" w:color="auto" w:sz="6" w:space="0"/>
            </w:tcBorders>
          </w:tcPr>
          <w:p w14:paraId="1A37BE3C">
            <w:pPr>
              <w:widowControl w:val="0"/>
              <w:autoSpaceDE w:val="0"/>
              <w:autoSpaceDN w:val="0"/>
              <w:spacing w:after="0" w:line="276" w:lineRule="auto"/>
              <w:jc w:val="both"/>
              <w:outlineLvl w:val="0"/>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Pr>
              <w:t>1 топ</w:t>
            </w:r>
          </w:p>
          <w:p w14:paraId="6789CCB3">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b/>
                <w:bCs/>
                <w:sz w:val="28"/>
                <w:szCs w:val="28"/>
              </w:rPr>
              <w:t>(n=43)</w:t>
            </w:r>
          </w:p>
        </w:tc>
        <w:tc>
          <w:tcPr>
            <w:tcW w:w="1335" w:type="dxa"/>
            <w:gridSpan w:val="3"/>
            <w:tcBorders>
              <w:top w:val="outset" w:color="auto" w:sz="6" w:space="0"/>
              <w:left w:val="outset" w:color="auto" w:sz="6" w:space="0"/>
              <w:bottom w:val="outset" w:color="auto" w:sz="6" w:space="0"/>
              <w:right w:val="outset" w:color="auto" w:sz="6" w:space="0"/>
            </w:tcBorders>
          </w:tcPr>
          <w:p w14:paraId="2C7EE51E">
            <w:pPr>
              <w:widowControl w:val="0"/>
              <w:autoSpaceDE w:val="0"/>
              <w:autoSpaceDN w:val="0"/>
              <w:spacing w:after="0" w:line="276" w:lineRule="auto"/>
              <w:jc w:val="both"/>
              <w:outlineLvl w:val="0"/>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Pr>
              <w:t>2 топ</w:t>
            </w:r>
          </w:p>
          <w:p w14:paraId="1B286D91">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b/>
                <w:bCs/>
                <w:sz w:val="28"/>
                <w:szCs w:val="28"/>
              </w:rPr>
              <w:t>(n=40)</w:t>
            </w:r>
          </w:p>
        </w:tc>
        <w:tc>
          <w:tcPr>
            <w:tcW w:w="1335" w:type="dxa"/>
            <w:gridSpan w:val="3"/>
            <w:tcBorders>
              <w:top w:val="outset" w:color="auto" w:sz="6" w:space="0"/>
              <w:left w:val="outset" w:color="auto" w:sz="6" w:space="0"/>
              <w:bottom w:val="outset" w:color="auto" w:sz="6" w:space="0"/>
              <w:right w:val="outset" w:color="auto" w:sz="6" w:space="0"/>
            </w:tcBorders>
          </w:tcPr>
          <w:p w14:paraId="790019F5">
            <w:pPr>
              <w:widowControl w:val="0"/>
              <w:autoSpaceDE w:val="0"/>
              <w:autoSpaceDN w:val="0"/>
              <w:spacing w:after="0" w:line="276" w:lineRule="auto"/>
              <w:jc w:val="both"/>
              <w:outlineLvl w:val="0"/>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Pr>
              <w:t>3 топ</w:t>
            </w:r>
          </w:p>
          <w:p w14:paraId="13F0B462">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b/>
                <w:bCs/>
                <w:sz w:val="28"/>
                <w:szCs w:val="28"/>
              </w:rPr>
              <w:t>(n=48)</w:t>
            </w:r>
          </w:p>
        </w:tc>
        <w:tc>
          <w:tcPr>
            <w:tcW w:w="1882" w:type="dxa"/>
            <w:gridSpan w:val="3"/>
            <w:tcBorders>
              <w:top w:val="outset" w:color="auto" w:sz="6" w:space="0"/>
              <w:left w:val="outset" w:color="auto" w:sz="6" w:space="0"/>
              <w:bottom w:val="outset" w:color="auto" w:sz="6" w:space="0"/>
              <w:right w:val="outset" w:color="auto" w:sz="6" w:space="0"/>
            </w:tcBorders>
          </w:tcPr>
          <w:p w14:paraId="1444C821">
            <w:pPr>
              <w:widowControl w:val="0"/>
              <w:autoSpaceDE w:val="0"/>
              <w:autoSpaceDN w:val="0"/>
              <w:spacing w:after="0" w:line="276" w:lineRule="auto"/>
              <w:jc w:val="both"/>
              <w:outlineLvl w:val="0"/>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Pr>
              <w:t>4 топ</w:t>
            </w:r>
          </w:p>
          <w:p w14:paraId="2DBE5A21">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b/>
                <w:bCs/>
                <w:sz w:val="28"/>
                <w:szCs w:val="28"/>
              </w:rPr>
              <w:t>(n=36)</w:t>
            </w:r>
          </w:p>
        </w:tc>
        <w:tc>
          <w:tcPr>
            <w:tcW w:w="1089" w:type="dxa"/>
            <w:vMerge w:val="continue"/>
            <w:tcBorders>
              <w:left w:val="outset" w:color="auto" w:sz="6" w:space="0"/>
              <w:right w:val="outset" w:color="auto" w:sz="6" w:space="0"/>
            </w:tcBorders>
          </w:tcPr>
          <w:p w14:paraId="7A946A0B">
            <w:pPr>
              <w:widowControl w:val="0"/>
              <w:autoSpaceDE w:val="0"/>
              <w:autoSpaceDN w:val="0"/>
              <w:spacing w:after="0" w:line="276" w:lineRule="auto"/>
              <w:jc w:val="both"/>
              <w:outlineLvl w:val="0"/>
              <w:rPr>
                <w:rFonts w:ascii="Times New Roman" w:hAnsi="Times New Roman" w:eastAsia="Times New Roman" w:cs="Times New Roman"/>
                <w:sz w:val="28"/>
                <w:szCs w:val="28"/>
              </w:rPr>
            </w:pPr>
          </w:p>
        </w:tc>
        <w:tc>
          <w:tcPr>
            <w:tcW w:w="800" w:type="dxa"/>
            <w:vMerge w:val="continue"/>
            <w:tcBorders>
              <w:left w:val="outset" w:color="auto" w:sz="6" w:space="0"/>
              <w:right w:val="outset" w:color="auto" w:sz="6" w:space="0"/>
            </w:tcBorders>
          </w:tcPr>
          <w:p w14:paraId="2AB521D5">
            <w:pPr>
              <w:widowControl w:val="0"/>
              <w:autoSpaceDE w:val="0"/>
              <w:autoSpaceDN w:val="0"/>
              <w:spacing w:after="0" w:line="276" w:lineRule="auto"/>
              <w:jc w:val="both"/>
              <w:outlineLvl w:val="0"/>
              <w:rPr>
                <w:rFonts w:ascii="Times New Roman" w:hAnsi="Times New Roman" w:eastAsia="Times New Roman" w:cs="Times New Roman"/>
                <w:sz w:val="28"/>
                <w:szCs w:val="28"/>
              </w:rPr>
            </w:pPr>
          </w:p>
        </w:tc>
      </w:tr>
      <w:tr w14:paraId="71B4DCA5">
        <w:tblPrEx>
          <w:tblCellMar>
            <w:top w:w="15" w:type="dxa"/>
            <w:left w:w="15" w:type="dxa"/>
            <w:bottom w:w="15" w:type="dxa"/>
            <w:right w:w="15" w:type="dxa"/>
          </w:tblCellMar>
        </w:tblPrEx>
        <w:tc>
          <w:tcPr>
            <w:tcW w:w="1611" w:type="dxa"/>
            <w:vMerge w:val="continue"/>
            <w:tcBorders>
              <w:left w:val="outset" w:color="auto" w:sz="6" w:space="0"/>
              <w:bottom w:val="outset" w:color="auto" w:sz="6" w:space="0"/>
              <w:right w:val="outset" w:color="auto" w:sz="6" w:space="0"/>
            </w:tcBorders>
          </w:tcPr>
          <w:p w14:paraId="7C705AF3">
            <w:pPr>
              <w:widowControl w:val="0"/>
              <w:autoSpaceDE w:val="0"/>
              <w:autoSpaceDN w:val="0"/>
              <w:spacing w:after="0" w:line="276" w:lineRule="auto"/>
              <w:jc w:val="both"/>
              <w:outlineLvl w:val="0"/>
              <w:rPr>
                <w:rFonts w:ascii="Times New Roman" w:hAnsi="Times New Roman" w:eastAsia="Times New Roman" w:cs="Times New Roman"/>
                <w:sz w:val="28"/>
                <w:szCs w:val="28"/>
              </w:rPr>
            </w:pPr>
          </w:p>
        </w:tc>
        <w:tc>
          <w:tcPr>
            <w:tcW w:w="444" w:type="dxa"/>
            <w:tcBorders>
              <w:top w:val="nil"/>
              <w:left w:val="outset" w:color="auto" w:sz="6" w:space="0"/>
              <w:bottom w:val="outset" w:color="auto" w:sz="6" w:space="0"/>
              <w:right w:val="outset" w:color="auto" w:sz="6" w:space="0"/>
            </w:tcBorders>
          </w:tcPr>
          <w:p w14:paraId="7D5E0F24">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Me</w:t>
            </w:r>
          </w:p>
        </w:tc>
        <w:tc>
          <w:tcPr>
            <w:tcW w:w="444" w:type="dxa"/>
            <w:tcBorders>
              <w:top w:val="nil"/>
              <w:left w:val="outset" w:color="auto" w:sz="6" w:space="0"/>
              <w:bottom w:val="outset" w:color="auto" w:sz="6" w:space="0"/>
              <w:right w:val="outset" w:color="auto" w:sz="6" w:space="0"/>
            </w:tcBorders>
          </w:tcPr>
          <w:p w14:paraId="1C77DA62">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Q1</w:t>
            </w:r>
          </w:p>
        </w:tc>
        <w:tc>
          <w:tcPr>
            <w:tcW w:w="445" w:type="dxa"/>
            <w:tcBorders>
              <w:top w:val="nil"/>
              <w:left w:val="outset" w:color="auto" w:sz="6" w:space="0"/>
              <w:bottom w:val="outset" w:color="auto" w:sz="6" w:space="0"/>
              <w:right w:val="outset" w:color="auto" w:sz="6" w:space="0"/>
            </w:tcBorders>
          </w:tcPr>
          <w:p w14:paraId="3D019048">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Q3</w:t>
            </w:r>
          </w:p>
        </w:tc>
        <w:tc>
          <w:tcPr>
            <w:tcW w:w="445" w:type="dxa"/>
            <w:tcBorders>
              <w:top w:val="nil"/>
              <w:left w:val="outset" w:color="auto" w:sz="6" w:space="0"/>
              <w:bottom w:val="outset" w:color="auto" w:sz="6" w:space="0"/>
              <w:right w:val="outset" w:color="auto" w:sz="6" w:space="0"/>
            </w:tcBorders>
          </w:tcPr>
          <w:p w14:paraId="0008FA38">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Me</w:t>
            </w:r>
          </w:p>
        </w:tc>
        <w:tc>
          <w:tcPr>
            <w:tcW w:w="445" w:type="dxa"/>
            <w:tcBorders>
              <w:top w:val="nil"/>
              <w:left w:val="outset" w:color="auto" w:sz="6" w:space="0"/>
              <w:bottom w:val="outset" w:color="auto" w:sz="6" w:space="0"/>
              <w:right w:val="outset" w:color="auto" w:sz="6" w:space="0"/>
            </w:tcBorders>
          </w:tcPr>
          <w:p w14:paraId="7373E492">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Q1</w:t>
            </w:r>
          </w:p>
        </w:tc>
        <w:tc>
          <w:tcPr>
            <w:tcW w:w="445" w:type="dxa"/>
            <w:tcBorders>
              <w:top w:val="nil"/>
              <w:left w:val="outset" w:color="auto" w:sz="6" w:space="0"/>
              <w:bottom w:val="outset" w:color="auto" w:sz="6" w:space="0"/>
              <w:right w:val="outset" w:color="auto" w:sz="6" w:space="0"/>
            </w:tcBorders>
          </w:tcPr>
          <w:p w14:paraId="4014B804">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Q3</w:t>
            </w:r>
          </w:p>
        </w:tc>
        <w:tc>
          <w:tcPr>
            <w:tcW w:w="445" w:type="dxa"/>
            <w:tcBorders>
              <w:top w:val="outset" w:color="auto" w:sz="6" w:space="0"/>
              <w:left w:val="outset" w:color="auto" w:sz="6" w:space="0"/>
              <w:bottom w:val="outset" w:color="auto" w:sz="6" w:space="0"/>
              <w:right w:val="outset" w:color="auto" w:sz="6" w:space="0"/>
            </w:tcBorders>
          </w:tcPr>
          <w:p w14:paraId="75E44632">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Me</w:t>
            </w:r>
          </w:p>
        </w:tc>
        <w:tc>
          <w:tcPr>
            <w:tcW w:w="445" w:type="dxa"/>
            <w:tcBorders>
              <w:top w:val="outset" w:color="auto" w:sz="6" w:space="0"/>
              <w:left w:val="outset" w:color="auto" w:sz="6" w:space="0"/>
              <w:bottom w:val="outset" w:color="auto" w:sz="6" w:space="0"/>
              <w:right w:val="outset" w:color="auto" w:sz="6" w:space="0"/>
            </w:tcBorders>
          </w:tcPr>
          <w:p w14:paraId="5165D6B6">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Q1</w:t>
            </w:r>
          </w:p>
        </w:tc>
        <w:tc>
          <w:tcPr>
            <w:tcW w:w="445" w:type="dxa"/>
            <w:tcBorders>
              <w:top w:val="outset" w:color="auto" w:sz="6" w:space="0"/>
              <w:left w:val="outset" w:color="auto" w:sz="6" w:space="0"/>
              <w:bottom w:val="outset" w:color="auto" w:sz="6" w:space="0"/>
              <w:right w:val="outset" w:color="auto" w:sz="6" w:space="0"/>
            </w:tcBorders>
          </w:tcPr>
          <w:p w14:paraId="4AEAE958">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Q3</w:t>
            </w:r>
          </w:p>
        </w:tc>
        <w:tc>
          <w:tcPr>
            <w:tcW w:w="445" w:type="dxa"/>
            <w:tcBorders>
              <w:top w:val="outset" w:color="auto" w:sz="6" w:space="0"/>
              <w:left w:val="outset" w:color="auto" w:sz="6" w:space="0"/>
              <w:bottom w:val="outset" w:color="auto" w:sz="6" w:space="0"/>
              <w:right w:val="outset" w:color="auto" w:sz="6" w:space="0"/>
            </w:tcBorders>
          </w:tcPr>
          <w:p w14:paraId="3106BE05">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Me</w:t>
            </w:r>
          </w:p>
        </w:tc>
        <w:tc>
          <w:tcPr>
            <w:tcW w:w="445" w:type="dxa"/>
            <w:tcBorders>
              <w:top w:val="outset" w:color="auto" w:sz="6" w:space="0"/>
              <w:left w:val="outset" w:color="auto" w:sz="6" w:space="0"/>
              <w:bottom w:val="outset" w:color="auto" w:sz="6" w:space="0"/>
              <w:right w:val="outset" w:color="auto" w:sz="6" w:space="0"/>
            </w:tcBorders>
          </w:tcPr>
          <w:p w14:paraId="6AB4929E">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Q1</w:t>
            </w:r>
          </w:p>
        </w:tc>
        <w:tc>
          <w:tcPr>
            <w:tcW w:w="992" w:type="dxa"/>
            <w:tcBorders>
              <w:top w:val="outset" w:color="auto" w:sz="6" w:space="0"/>
              <w:left w:val="outset" w:color="auto" w:sz="6" w:space="0"/>
              <w:bottom w:val="outset" w:color="auto" w:sz="6" w:space="0"/>
              <w:right w:val="outset" w:color="auto" w:sz="6" w:space="0"/>
            </w:tcBorders>
          </w:tcPr>
          <w:p w14:paraId="2C699835">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Q3</w:t>
            </w:r>
          </w:p>
        </w:tc>
        <w:tc>
          <w:tcPr>
            <w:tcW w:w="1089" w:type="dxa"/>
            <w:vMerge w:val="continue"/>
            <w:tcBorders>
              <w:left w:val="outset" w:color="auto" w:sz="6" w:space="0"/>
              <w:bottom w:val="outset" w:color="auto" w:sz="6" w:space="0"/>
              <w:right w:val="outset" w:color="auto" w:sz="6" w:space="0"/>
            </w:tcBorders>
          </w:tcPr>
          <w:p w14:paraId="6A00F6CD">
            <w:pPr>
              <w:widowControl w:val="0"/>
              <w:autoSpaceDE w:val="0"/>
              <w:autoSpaceDN w:val="0"/>
              <w:spacing w:after="0" w:line="276" w:lineRule="auto"/>
              <w:jc w:val="both"/>
              <w:outlineLvl w:val="0"/>
              <w:rPr>
                <w:rFonts w:ascii="Times New Roman" w:hAnsi="Times New Roman" w:eastAsia="Times New Roman" w:cs="Times New Roman"/>
                <w:sz w:val="28"/>
                <w:szCs w:val="28"/>
              </w:rPr>
            </w:pPr>
          </w:p>
        </w:tc>
        <w:tc>
          <w:tcPr>
            <w:tcW w:w="800" w:type="dxa"/>
            <w:vMerge w:val="continue"/>
            <w:tcBorders>
              <w:left w:val="outset" w:color="auto" w:sz="6" w:space="0"/>
              <w:bottom w:val="outset" w:color="auto" w:sz="6" w:space="0"/>
              <w:right w:val="outset" w:color="auto" w:sz="6" w:space="0"/>
            </w:tcBorders>
          </w:tcPr>
          <w:p w14:paraId="4209169A">
            <w:pPr>
              <w:widowControl w:val="0"/>
              <w:autoSpaceDE w:val="0"/>
              <w:autoSpaceDN w:val="0"/>
              <w:spacing w:after="0" w:line="276" w:lineRule="auto"/>
              <w:jc w:val="both"/>
              <w:outlineLvl w:val="0"/>
              <w:rPr>
                <w:rFonts w:ascii="Times New Roman" w:hAnsi="Times New Roman" w:eastAsia="Times New Roman" w:cs="Times New Roman"/>
                <w:sz w:val="28"/>
                <w:szCs w:val="28"/>
              </w:rPr>
            </w:pPr>
          </w:p>
        </w:tc>
      </w:tr>
      <w:tr w14:paraId="0A708B31">
        <w:tblPrEx>
          <w:tblCellMar>
            <w:top w:w="15" w:type="dxa"/>
            <w:left w:w="15" w:type="dxa"/>
            <w:bottom w:w="15" w:type="dxa"/>
            <w:right w:w="15" w:type="dxa"/>
          </w:tblCellMar>
        </w:tblPrEx>
        <w:tc>
          <w:tcPr>
            <w:tcW w:w="1611" w:type="dxa"/>
            <w:tcBorders>
              <w:top w:val="nil"/>
              <w:left w:val="outset" w:color="auto" w:sz="6" w:space="0"/>
              <w:bottom w:val="outset" w:color="auto" w:sz="6" w:space="0"/>
              <w:right w:val="outset" w:color="auto" w:sz="6" w:space="0"/>
            </w:tcBorders>
          </w:tcPr>
          <w:p w14:paraId="4281A9D1">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СРА</w:t>
            </w:r>
          </w:p>
        </w:tc>
        <w:tc>
          <w:tcPr>
            <w:tcW w:w="444" w:type="dxa"/>
            <w:tcBorders>
              <w:top w:val="nil"/>
              <w:left w:val="outset" w:color="auto" w:sz="6" w:space="0"/>
              <w:bottom w:val="outset" w:color="auto" w:sz="6" w:space="0"/>
              <w:right w:val="outset" w:color="auto" w:sz="6" w:space="0"/>
            </w:tcBorders>
          </w:tcPr>
          <w:p w14:paraId="035C84C8">
            <w:pPr>
              <w:widowControl w:val="0"/>
              <w:autoSpaceDE w:val="0"/>
              <w:autoSpaceDN w:val="0"/>
              <w:spacing w:after="0" w:line="276" w:lineRule="auto"/>
              <w:jc w:val="both"/>
              <w:outlineLvl w:val="0"/>
              <w:rPr>
                <w:rFonts w:ascii="Times New Roman" w:hAnsi="Times New Roman" w:eastAsia="Times New Roman" w:cs="Times New Roman"/>
                <w:i/>
                <w:sz w:val="28"/>
                <w:szCs w:val="28"/>
              </w:rPr>
            </w:pPr>
            <w:r>
              <w:rPr>
                <w:rFonts w:ascii="Times New Roman" w:hAnsi="Times New Roman" w:eastAsia="Times New Roman" w:cs="Times New Roman"/>
                <w:sz w:val="28"/>
                <w:szCs w:val="28"/>
              </w:rPr>
              <w:t>6,51</w:t>
            </w:r>
          </w:p>
        </w:tc>
        <w:tc>
          <w:tcPr>
            <w:tcW w:w="444" w:type="dxa"/>
            <w:tcBorders>
              <w:top w:val="nil"/>
              <w:left w:val="outset" w:color="auto" w:sz="6" w:space="0"/>
              <w:bottom w:val="outset" w:color="auto" w:sz="6" w:space="0"/>
              <w:right w:val="outset" w:color="auto" w:sz="6" w:space="0"/>
            </w:tcBorders>
          </w:tcPr>
          <w:p w14:paraId="0F5E9592">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4,50</w:t>
            </w:r>
          </w:p>
        </w:tc>
        <w:tc>
          <w:tcPr>
            <w:tcW w:w="445" w:type="dxa"/>
            <w:tcBorders>
              <w:top w:val="nil"/>
              <w:left w:val="outset" w:color="auto" w:sz="6" w:space="0"/>
              <w:bottom w:val="outset" w:color="auto" w:sz="6" w:space="0"/>
              <w:right w:val="outset" w:color="auto" w:sz="6" w:space="0"/>
            </w:tcBorders>
          </w:tcPr>
          <w:p w14:paraId="3A9CBC42">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9,66</w:t>
            </w:r>
          </w:p>
        </w:tc>
        <w:tc>
          <w:tcPr>
            <w:tcW w:w="445" w:type="dxa"/>
            <w:tcBorders>
              <w:top w:val="nil"/>
              <w:left w:val="outset" w:color="auto" w:sz="6" w:space="0"/>
              <w:bottom w:val="outset" w:color="auto" w:sz="6" w:space="0"/>
              <w:right w:val="outset" w:color="auto" w:sz="6" w:space="0"/>
            </w:tcBorders>
          </w:tcPr>
          <w:p w14:paraId="29EF0EFD">
            <w:pPr>
              <w:widowControl w:val="0"/>
              <w:autoSpaceDE w:val="0"/>
              <w:autoSpaceDN w:val="0"/>
              <w:spacing w:after="0" w:line="276" w:lineRule="auto"/>
              <w:jc w:val="both"/>
              <w:outlineLvl w:val="0"/>
              <w:rPr>
                <w:rFonts w:ascii="Times New Roman" w:hAnsi="Times New Roman" w:eastAsia="Times New Roman" w:cs="Times New Roman"/>
                <w:i/>
                <w:sz w:val="28"/>
                <w:szCs w:val="28"/>
              </w:rPr>
            </w:pPr>
            <w:r>
              <w:rPr>
                <w:rFonts w:ascii="Times New Roman" w:hAnsi="Times New Roman" w:eastAsia="Times New Roman" w:cs="Times New Roman"/>
                <w:sz w:val="28"/>
                <w:szCs w:val="28"/>
              </w:rPr>
              <w:t>3,94</w:t>
            </w:r>
          </w:p>
        </w:tc>
        <w:tc>
          <w:tcPr>
            <w:tcW w:w="445" w:type="dxa"/>
            <w:tcBorders>
              <w:top w:val="nil"/>
              <w:left w:val="outset" w:color="auto" w:sz="6" w:space="0"/>
              <w:bottom w:val="outset" w:color="auto" w:sz="6" w:space="0"/>
              <w:right w:val="outset" w:color="auto" w:sz="6" w:space="0"/>
            </w:tcBorders>
          </w:tcPr>
          <w:p w14:paraId="531EBFAC">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1,99</w:t>
            </w:r>
          </w:p>
        </w:tc>
        <w:tc>
          <w:tcPr>
            <w:tcW w:w="445" w:type="dxa"/>
            <w:tcBorders>
              <w:top w:val="nil"/>
              <w:left w:val="outset" w:color="auto" w:sz="6" w:space="0"/>
              <w:bottom w:val="outset" w:color="auto" w:sz="6" w:space="0"/>
              <w:right w:val="outset" w:color="auto" w:sz="6" w:space="0"/>
            </w:tcBorders>
          </w:tcPr>
          <w:p w14:paraId="5DAC196D">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6,37</w:t>
            </w:r>
          </w:p>
        </w:tc>
        <w:tc>
          <w:tcPr>
            <w:tcW w:w="445" w:type="dxa"/>
            <w:tcBorders>
              <w:top w:val="nil"/>
              <w:left w:val="outset" w:color="auto" w:sz="6" w:space="0"/>
              <w:bottom w:val="outset" w:color="auto" w:sz="6" w:space="0"/>
              <w:right w:val="outset" w:color="auto" w:sz="6" w:space="0"/>
            </w:tcBorders>
          </w:tcPr>
          <w:p w14:paraId="2E5852AD">
            <w:pPr>
              <w:widowControl w:val="0"/>
              <w:autoSpaceDE w:val="0"/>
              <w:autoSpaceDN w:val="0"/>
              <w:spacing w:after="0" w:line="276" w:lineRule="auto"/>
              <w:jc w:val="both"/>
              <w:outlineLvl w:val="0"/>
              <w:rPr>
                <w:rFonts w:ascii="Times New Roman" w:hAnsi="Times New Roman" w:eastAsia="Times New Roman" w:cs="Times New Roman"/>
                <w:i/>
                <w:sz w:val="28"/>
                <w:szCs w:val="28"/>
              </w:rPr>
            </w:pPr>
            <w:r>
              <w:rPr>
                <w:rFonts w:ascii="Times New Roman" w:hAnsi="Times New Roman" w:eastAsia="Times New Roman" w:cs="Times New Roman"/>
                <w:sz w:val="28"/>
                <w:szCs w:val="28"/>
              </w:rPr>
              <w:t>5,58</w:t>
            </w:r>
          </w:p>
        </w:tc>
        <w:tc>
          <w:tcPr>
            <w:tcW w:w="445" w:type="dxa"/>
            <w:tcBorders>
              <w:top w:val="nil"/>
              <w:left w:val="outset" w:color="auto" w:sz="6" w:space="0"/>
              <w:bottom w:val="outset" w:color="auto" w:sz="6" w:space="0"/>
              <w:right w:val="outset" w:color="auto" w:sz="6" w:space="0"/>
            </w:tcBorders>
          </w:tcPr>
          <w:p w14:paraId="0D6875CA">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3,29</w:t>
            </w:r>
          </w:p>
        </w:tc>
        <w:tc>
          <w:tcPr>
            <w:tcW w:w="445" w:type="dxa"/>
            <w:tcBorders>
              <w:top w:val="nil"/>
              <w:left w:val="outset" w:color="auto" w:sz="6" w:space="0"/>
              <w:bottom w:val="outset" w:color="auto" w:sz="6" w:space="0"/>
              <w:right w:val="outset" w:color="auto" w:sz="6" w:space="0"/>
            </w:tcBorders>
          </w:tcPr>
          <w:p w14:paraId="7B7B9009">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8,85</w:t>
            </w:r>
          </w:p>
        </w:tc>
        <w:tc>
          <w:tcPr>
            <w:tcW w:w="445" w:type="dxa"/>
            <w:tcBorders>
              <w:top w:val="nil"/>
              <w:left w:val="outset" w:color="auto" w:sz="6" w:space="0"/>
              <w:bottom w:val="outset" w:color="auto" w:sz="6" w:space="0"/>
              <w:right w:val="outset" w:color="auto" w:sz="6" w:space="0"/>
            </w:tcBorders>
          </w:tcPr>
          <w:p w14:paraId="4E519850">
            <w:pPr>
              <w:widowControl w:val="0"/>
              <w:autoSpaceDE w:val="0"/>
              <w:autoSpaceDN w:val="0"/>
              <w:spacing w:after="0" w:line="276" w:lineRule="auto"/>
              <w:jc w:val="both"/>
              <w:outlineLvl w:val="0"/>
              <w:rPr>
                <w:rFonts w:ascii="Times New Roman" w:hAnsi="Times New Roman" w:eastAsia="Times New Roman" w:cs="Times New Roman"/>
                <w:i/>
                <w:sz w:val="28"/>
                <w:szCs w:val="28"/>
              </w:rPr>
            </w:pPr>
            <w:r>
              <w:rPr>
                <w:rFonts w:ascii="Times New Roman" w:hAnsi="Times New Roman" w:eastAsia="Times New Roman" w:cs="Times New Roman"/>
                <w:sz w:val="28"/>
                <w:szCs w:val="28"/>
              </w:rPr>
              <w:t>8,50</w:t>
            </w:r>
          </w:p>
        </w:tc>
        <w:tc>
          <w:tcPr>
            <w:tcW w:w="445" w:type="dxa"/>
            <w:tcBorders>
              <w:top w:val="nil"/>
              <w:left w:val="outset" w:color="auto" w:sz="6" w:space="0"/>
              <w:bottom w:val="outset" w:color="auto" w:sz="6" w:space="0"/>
              <w:right w:val="outset" w:color="auto" w:sz="6" w:space="0"/>
            </w:tcBorders>
          </w:tcPr>
          <w:p w14:paraId="2B4D1665">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6,34</w:t>
            </w:r>
          </w:p>
        </w:tc>
        <w:tc>
          <w:tcPr>
            <w:tcW w:w="992" w:type="dxa"/>
            <w:tcBorders>
              <w:top w:val="nil"/>
              <w:left w:val="outset" w:color="auto" w:sz="6" w:space="0"/>
              <w:bottom w:val="outset" w:color="auto" w:sz="6" w:space="0"/>
              <w:right w:val="outset" w:color="auto" w:sz="6" w:space="0"/>
            </w:tcBorders>
          </w:tcPr>
          <w:p w14:paraId="4760F8A8">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12,37</w:t>
            </w:r>
          </w:p>
        </w:tc>
        <w:tc>
          <w:tcPr>
            <w:tcW w:w="1089" w:type="dxa"/>
            <w:tcBorders>
              <w:top w:val="nil"/>
              <w:left w:val="outset" w:color="auto" w:sz="6" w:space="0"/>
              <w:bottom w:val="outset" w:color="auto" w:sz="6" w:space="0"/>
              <w:right w:val="outset" w:color="auto" w:sz="6" w:space="0"/>
            </w:tcBorders>
          </w:tcPr>
          <w:p w14:paraId="6E30284F">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18,054</w:t>
            </w:r>
          </w:p>
        </w:tc>
        <w:tc>
          <w:tcPr>
            <w:tcW w:w="800" w:type="dxa"/>
            <w:tcBorders>
              <w:top w:val="nil"/>
              <w:left w:val="outset" w:color="auto" w:sz="6" w:space="0"/>
              <w:bottom w:val="outset" w:color="auto" w:sz="6" w:space="0"/>
              <w:right w:val="outset" w:color="auto" w:sz="6" w:space="0"/>
            </w:tcBorders>
          </w:tcPr>
          <w:p w14:paraId="48875263">
            <w:pPr>
              <w:widowControl w:val="0"/>
              <w:autoSpaceDE w:val="0"/>
              <w:autoSpaceDN w:val="0"/>
              <w:spacing w:after="0" w:line="276" w:lineRule="auto"/>
              <w:jc w:val="both"/>
              <w:outlineLvl w:val="0"/>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Pr>
              <w:t>0,0004</w:t>
            </w:r>
            <w:r>
              <w:rPr>
                <w:rFonts w:ascii="Times New Roman" w:hAnsi="Times New Roman" w:eastAsia="Times New Roman" w:cs="Times New Roman"/>
                <w:b/>
                <w:i/>
                <w:sz w:val="28"/>
                <w:szCs w:val="28"/>
              </w:rPr>
              <w:t>*</w:t>
            </w:r>
          </w:p>
        </w:tc>
      </w:tr>
      <w:tr w14:paraId="7F8D611F">
        <w:tblPrEx>
          <w:tblCellMar>
            <w:top w:w="15" w:type="dxa"/>
            <w:left w:w="15" w:type="dxa"/>
            <w:bottom w:w="15" w:type="dxa"/>
            <w:right w:w="15" w:type="dxa"/>
          </w:tblCellMar>
        </w:tblPrEx>
        <w:tc>
          <w:tcPr>
            <w:tcW w:w="1611" w:type="dxa"/>
            <w:tcBorders>
              <w:top w:val="nil"/>
              <w:left w:val="outset" w:color="auto" w:sz="6" w:space="0"/>
              <w:bottom w:val="outset" w:color="auto" w:sz="6" w:space="0"/>
              <w:right w:val="outset" w:color="auto" w:sz="6" w:space="0"/>
            </w:tcBorders>
          </w:tcPr>
          <w:p w14:paraId="1A988782">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Интерлейкин–6</w:t>
            </w:r>
          </w:p>
        </w:tc>
        <w:tc>
          <w:tcPr>
            <w:tcW w:w="444" w:type="dxa"/>
            <w:tcBorders>
              <w:top w:val="nil"/>
              <w:left w:val="outset" w:color="auto" w:sz="6" w:space="0"/>
              <w:bottom w:val="outset" w:color="auto" w:sz="6" w:space="0"/>
              <w:right w:val="outset" w:color="auto" w:sz="6" w:space="0"/>
            </w:tcBorders>
          </w:tcPr>
          <w:p w14:paraId="68933C3F">
            <w:pPr>
              <w:widowControl w:val="0"/>
              <w:autoSpaceDE w:val="0"/>
              <w:autoSpaceDN w:val="0"/>
              <w:spacing w:after="0" w:line="276" w:lineRule="auto"/>
              <w:jc w:val="both"/>
              <w:outlineLvl w:val="0"/>
              <w:rPr>
                <w:rFonts w:ascii="Times New Roman" w:hAnsi="Times New Roman" w:eastAsia="Times New Roman" w:cs="Times New Roman"/>
                <w:i/>
                <w:sz w:val="28"/>
                <w:szCs w:val="28"/>
              </w:rPr>
            </w:pPr>
            <w:r>
              <w:rPr>
                <w:rFonts w:ascii="Times New Roman" w:hAnsi="Times New Roman" w:eastAsia="Times New Roman" w:cs="Times New Roman"/>
                <w:sz w:val="28"/>
                <w:szCs w:val="28"/>
              </w:rPr>
              <w:t>1,53</w:t>
            </w:r>
          </w:p>
        </w:tc>
        <w:tc>
          <w:tcPr>
            <w:tcW w:w="444" w:type="dxa"/>
            <w:tcBorders>
              <w:top w:val="nil"/>
              <w:left w:val="outset" w:color="auto" w:sz="6" w:space="0"/>
              <w:bottom w:val="outset" w:color="auto" w:sz="6" w:space="0"/>
              <w:right w:val="outset" w:color="auto" w:sz="6" w:space="0"/>
            </w:tcBorders>
          </w:tcPr>
          <w:p w14:paraId="737B3BAA">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0,62</w:t>
            </w:r>
          </w:p>
        </w:tc>
        <w:tc>
          <w:tcPr>
            <w:tcW w:w="445" w:type="dxa"/>
            <w:tcBorders>
              <w:top w:val="nil"/>
              <w:left w:val="outset" w:color="auto" w:sz="6" w:space="0"/>
              <w:bottom w:val="outset" w:color="auto" w:sz="6" w:space="0"/>
              <w:right w:val="outset" w:color="auto" w:sz="6" w:space="0"/>
            </w:tcBorders>
          </w:tcPr>
          <w:p w14:paraId="59ACCF7C">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4,11</w:t>
            </w:r>
          </w:p>
        </w:tc>
        <w:tc>
          <w:tcPr>
            <w:tcW w:w="445" w:type="dxa"/>
            <w:tcBorders>
              <w:top w:val="nil"/>
              <w:left w:val="outset" w:color="auto" w:sz="6" w:space="0"/>
              <w:bottom w:val="outset" w:color="auto" w:sz="6" w:space="0"/>
              <w:right w:val="outset" w:color="auto" w:sz="6" w:space="0"/>
            </w:tcBorders>
          </w:tcPr>
          <w:p w14:paraId="55A0A315">
            <w:pPr>
              <w:widowControl w:val="0"/>
              <w:autoSpaceDE w:val="0"/>
              <w:autoSpaceDN w:val="0"/>
              <w:spacing w:after="0" w:line="276" w:lineRule="auto"/>
              <w:jc w:val="both"/>
              <w:outlineLvl w:val="0"/>
              <w:rPr>
                <w:rFonts w:ascii="Times New Roman" w:hAnsi="Times New Roman" w:eastAsia="Times New Roman" w:cs="Times New Roman"/>
                <w:i/>
                <w:sz w:val="28"/>
                <w:szCs w:val="28"/>
              </w:rPr>
            </w:pPr>
            <w:r>
              <w:rPr>
                <w:rFonts w:ascii="Times New Roman" w:hAnsi="Times New Roman" w:eastAsia="Times New Roman" w:cs="Times New Roman"/>
                <w:sz w:val="28"/>
                <w:szCs w:val="28"/>
              </w:rPr>
              <w:t>1,48</w:t>
            </w:r>
          </w:p>
        </w:tc>
        <w:tc>
          <w:tcPr>
            <w:tcW w:w="445" w:type="dxa"/>
            <w:tcBorders>
              <w:top w:val="nil"/>
              <w:left w:val="outset" w:color="auto" w:sz="6" w:space="0"/>
              <w:bottom w:val="outset" w:color="auto" w:sz="6" w:space="0"/>
              <w:right w:val="outset" w:color="auto" w:sz="6" w:space="0"/>
            </w:tcBorders>
          </w:tcPr>
          <w:p w14:paraId="0E9D5112">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0,76</w:t>
            </w:r>
          </w:p>
        </w:tc>
        <w:tc>
          <w:tcPr>
            <w:tcW w:w="445" w:type="dxa"/>
            <w:tcBorders>
              <w:top w:val="nil"/>
              <w:left w:val="outset" w:color="auto" w:sz="6" w:space="0"/>
              <w:bottom w:val="outset" w:color="auto" w:sz="6" w:space="0"/>
              <w:right w:val="outset" w:color="auto" w:sz="6" w:space="0"/>
            </w:tcBorders>
          </w:tcPr>
          <w:p w14:paraId="443BDD5B">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2,89</w:t>
            </w:r>
          </w:p>
        </w:tc>
        <w:tc>
          <w:tcPr>
            <w:tcW w:w="445" w:type="dxa"/>
            <w:tcBorders>
              <w:top w:val="nil"/>
              <w:left w:val="outset" w:color="auto" w:sz="6" w:space="0"/>
              <w:bottom w:val="outset" w:color="auto" w:sz="6" w:space="0"/>
              <w:right w:val="outset" w:color="auto" w:sz="6" w:space="0"/>
            </w:tcBorders>
          </w:tcPr>
          <w:p w14:paraId="47A7C047">
            <w:pPr>
              <w:widowControl w:val="0"/>
              <w:autoSpaceDE w:val="0"/>
              <w:autoSpaceDN w:val="0"/>
              <w:spacing w:after="0" w:line="276" w:lineRule="auto"/>
              <w:jc w:val="both"/>
              <w:outlineLvl w:val="0"/>
              <w:rPr>
                <w:rFonts w:ascii="Times New Roman" w:hAnsi="Times New Roman" w:eastAsia="Times New Roman" w:cs="Times New Roman"/>
                <w:i/>
                <w:sz w:val="28"/>
                <w:szCs w:val="28"/>
              </w:rPr>
            </w:pPr>
            <w:r>
              <w:rPr>
                <w:rFonts w:ascii="Times New Roman" w:hAnsi="Times New Roman" w:eastAsia="Times New Roman" w:cs="Times New Roman"/>
                <w:sz w:val="28"/>
                <w:szCs w:val="28"/>
              </w:rPr>
              <w:t>3,22</w:t>
            </w:r>
          </w:p>
        </w:tc>
        <w:tc>
          <w:tcPr>
            <w:tcW w:w="445" w:type="dxa"/>
            <w:tcBorders>
              <w:top w:val="nil"/>
              <w:left w:val="outset" w:color="auto" w:sz="6" w:space="0"/>
              <w:bottom w:val="outset" w:color="auto" w:sz="6" w:space="0"/>
              <w:right w:val="outset" w:color="auto" w:sz="6" w:space="0"/>
            </w:tcBorders>
          </w:tcPr>
          <w:p w14:paraId="098843EE">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2,32</w:t>
            </w:r>
          </w:p>
        </w:tc>
        <w:tc>
          <w:tcPr>
            <w:tcW w:w="445" w:type="dxa"/>
            <w:tcBorders>
              <w:top w:val="nil"/>
              <w:left w:val="outset" w:color="auto" w:sz="6" w:space="0"/>
              <w:bottom w:val="outset" w:color="auto" w:sz="6" w:space="0"/>
              <w:right w:val="outset" w:color="auto" w:sz="6" w:space="0"/>
            </w:tcBorders>
          </w:tcPr>
          <w:p w14:paraId="4BA2B6A9">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6,23</w:t>
            </w:r>
          </w:p>
        </w:tc>
        <w:tc>
          <w:tcPr>
            <w:tcW w:w="445" w:type="dxa"/>
            <w:tcBorders>
              <w:top w:val="nil"/>
              <w:left w:val="outset" w:color="auto" w:sz="6" w:space="0"/>
              <w:bottom w:val="outset" w:color="auto" w:sz="6" w:space="0"/>
              <w:right w:val="outset" w:color="auto" w:sz="6" w:space="0"/>
            </w:tcBorders>
          </w:tcPr>
          <w:p w14:paraId="3C4649E3">
            <w:pPr>
              <w:widowControl w:val="0"/>
              <w:autoSpaceDE w:val="0"/>
              <w:autoSpaceDN w:val="0"/>
              <w:spacing w:after="0" w:line="276" w:lineRule="auto"/>
              <w:jc w:val="both"/>
              <w:outlineLvl w:val="0"/>
              <w:rPr>
                <w:rFonts w:ascii="Times New Roman" w:hAnsi="Times New Roman" w:eastAsia="Times New Roman" w:cs="Times New Roman"/>
                <w:i/>
                <w:sz w:val="28"/>
                <w:szCs w:val="28"/>
              </w:rPr>
            </w:pPr>
            <w:r>
              <w:rPr>
                <w:rFonts w:ascii="Times New Roman" w:hAnsi="Times New Roman" w:eastAsia="Times New Roman" w:cs="Times New Roman"/>
                <w:sz w:val="28"/>
                <w:szCs w:val="28"/>
              </w:rPr>
              <w:t>3,92</w:t>
            </w:r>
          </w:p>
        </w:tc>
        <w:tc>
          <w:tcPr>
            <w:tcW w:w="445" w:type="dxa"/>
            <w:tcBorders>
              <w:top w:val="nil"/>
              <w:left w:val="outset" w:color="auto" w:sz="6" w:space="0"/>
              <w:bottom w:val="outset" w:color="auto" w:sz="6" w:space="0"/>
              <w:right w:val="outset" w:color="auto" w:sz="6" w:space="0"/>
            </w:tcBorders>
          </w:tcPr>
          <w:p w14:paraId="6F8D50CB">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2,99</w:t>
            </w:r>
          </w:p>
        </w:tc>
        <w:tc>
          <w:tcPr>
            <w:tcW w:w="992" w:type="dxa"/>
            <w:tcBorders>
              <w:top w:val="nil"/>
              <w:left w:val="outset" w:color="auto" w:sz="6" w:space="0"/>
              <w:bottom w:val="outset" w:color="auto" w:sz="6" w:space="0"/>
              <w:right w:val="outset" w:color="auto" w:sz="6" w:space="0"/>
            </w:tcBorders>
          </w:tcPr>
          <w:p w14:paraId="1B6178F4">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4,72</w:t>
            </w:r>
          </w:p>
        </w:tc>
        <w:tc>
          <w:tcPr>
            <w:tcW w:w="1089" w:type="dxa"/>
            <w:tcBorders>
              <w:top w:val="nil"/>
              <w:left w:val="outset" w:color="auto" w:sz="6" w:space="0"/>
              <w:bottom w:val="outset" w:color="auto" w:sz="6" w:space="0"/>
              <w:right w:val="outset" w:color="auto" w:sz="6" w:space="0"/>
            </w:tcBorders>
          </w:tcPr>
          <w:p w14:paraId="0569F033">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35,896</w:t>
            </w:r>
          </w:p>
        </w:tc>
        <w:tc>
          <w:tcPr>
            <w:tcW w:w="800" w:type="dxa"/>
            <w:tcBorders>
              <w:top w:val="nil"/>
              <w:left w:val="outset" w:color="auto" w:sz="6" w:space="0"/>
              <w:bottom w:val="outset" w:color="auto" w:sz="6" w:space="0"/>
              <w:right w:val="outset" w:color="auto" w:sz="6" w:space="0"/>
            </w:tcBorders>
          </w:tcPr>
          <w:p w14:paraId="4C3099E9">
            <w:pPr>
              <w:widowControl w:val="0"/>
              <w:autoSpaceDE w:val="0"/>
              <w:autoSpaceDN w:val="0"/>
              <w:spacing w:after="0" w:line="276" w:lineRule="auto"/>
              <w:jc w:val="both"/>
              <w:outlineLvl w:val="0"/>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Pr>
              <w:t>0,0000</w:t>
            </w:r>
            <w:r>
              <w:rPr>
                <w:rFonts w:ascii="Times New Roman" w:hAnsi="Times New Roman" w:eastAsia="Times New Roman" w:cs="Times New Roman"/>
                <w:b/>
                <w:i/>
                <w:sz w:val="28"/>
                <w:szCs w:val="28"/>
              </w:rPr>
              <w:t>*</w:t>
            </w:r>
          </w:p>
        </w:tc>
      </w:tr>
      <w:tr w14:paraId="76728C14">
        <w:tblPrEx>
          <w:tblCellMar>
            <w:top w:w="15" w:type="dxa"/>
            <w:left w:w="15" w:type="dxa"/>
            <w:bottom w:w="15" w:type="dxa"/>
            <w:right w:w="15" w:type="dxa"/>
          </w:tblCellMar>
        </w:tblPrEx>
        <w:tc>
          <w:tcPr>
            <w:tcW w:w="9385" w:type="dxa"/>
            <w:gridSpan w:val="15"/>
            <w:tcBorders>
              <w:top w:val="nil"/>
              <w:left w:val="outset" w:color="auto" w:sz="6" w:space="0"/>
              <w:bottom w:val="outset" w:color="auto" w:sz="6" w:space="0"/>
              <w:right w:val="outset" w:color="auto" w:sz="6" w:space="0"/>
            </w:tcBorders>
          </w:tcPr>
          <w:p w14:paraId="6DD3EE86">
            <w:pPr>
              <w:widowControl w:val="0"/>
              <w:autoSpaceDE w:val="0"/>
              <w:autoSpaceDN w:val="0"/>
              <w:spacing w:after="0" w:line="276" w:lineRule="auto"/>
              <w:jc w:val="both"/>
              <w:outlineLvl w:val="0"/>
              <w:rPr>
                <w:rFonts w:ascii="Times New Roman" w:hAnsi="Times New Roman" w:eastAsia="Times New Roman" w:cs="Times New Roman"/>
                <w:b/>
                <w:bCs/>
                <w:sz w:val="28"/>
                <w:szCs w:val="28"/>
              </w:rPr>
            </w:pPr>
            <w:r>
              <w:rPr>
                <w:rFonts w:ascii="Times New Roman" w:hAnsi="Times New Roman" w:eastAsia="Times New Roman" w:cs="Times New Roman"/>
                <w:i/>
                <w:sz w:val="28"/>
                <w:szCs w:val="28"/>
              </w:rPr>
              <w:t xml:space="preserve">*–Краскел–Уоллис критерийі бойынша айырмашылығы, көрсеткіштердің өзгеруінің растығы бойынша р&lt;0.05  </w:t>
            </w:r>
          </w:p>
        </w:tc>
      </w:tr>
    </w:tbl>
    <w:p w14:paraId="2374CFC8">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p>
    <w:p w14:paraId="5353F084">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СРА және ИЛ-6 маркерлері бойынша алынған деректер семіздік пен анемияның бірлескен әсерінің қабыну деңгейіне айтарлықтай ықпал ететінін көрсетеді. СРА деңгейі анемия мен семіздік қатар кездескенде ең жоғары деңгейге жеткенімен, тек семіздігі бар жүкті әйелдерде бұл көрсеткіш бақылау тобынан жоғары болмады. Ал IL-6 көрсеткіші семіздігі бар топтарда (3 және 4) бақылау тобымен салыстырғанда айтарлықтай жоғары болды. Бұл деректер қабыну процестерінің анемия және семіздік жағдайында күшейетінін және қабыну медиаторларының патогенездегі рөлін анықтайтындығын растайды.</w:t>
      </w:r>
    </w:p>
    <w:p w14:paraId="563ECF05">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Зерттеу барысында СРА және ИЛ–6 маркерлерінің деңгейлерін топаралық жұптық салыстыру Манн–Уитни Z сынамасы (кесте–13) арқылы жүргізілді. </w:t>
      </w:r>
    </w:p>
    <w:p w14:paraId="4298CF34">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 </w:t>
      </w:r>
    </w:p>
    <w:p w14:paraId="7B51D64D">
      <w:pPr>
        <w:widowControl w:val="0"/>
        <w:autoSpaceDE w:val="0"/>
        <w:autoSpaceDN w:val="0"/>
        <w:spacing w:after="0" w:line="276" w:lineRule="auto"/>
        <w:ind w:firstLine="709"/>
        <w:jc w:val="both"/>
        <w:outlineLvl w:val="0"/>
        <w:rPr>
          <w:rFonts w:ascii="Times New Roman" w:hAnsi="Times New Roman" w:eastAsia="Times New Roman" w:cs="Times New Roman"/>
          <w:iCs/>
          <w:sz w:val="28"/>
          <w:szCs w:val="28"/>
          <w:lang w:eastAsia="ru-RU"/>
        </w:rPr>
      </w:pPr>
      <w:r>
        <w:rPr>
          <w:rFonts w:ascii="Times New Roman" w:hAnsi="Times New Roman" w:eastAsia="Times New Roman" w:cs="Times New Roman"/>
          <w:iCs/>
          <w:sz w:val="28"/>
          <w:szCs w:val="28"/>
          <w:lang w:eastAsia="ru-RU"/>
        </w:rPr>
        <w:t>Кесте – 13.</w:t>
      </w:r>
      <w:r>
        <w:rPr>
          <w:rFonts w:ascii="Times New Roman" w:hAnsi="Times New Roman" w:eastAsia="Times New Roman" w:cs="Times New Roman"/>
          <w:b/>
          <w:bCs/>
          <w:iCs/>
          <w:sz w:val="28"/>
          <w:szCs w:val="28"/>
          <w:lang w:eastAsia="ru-RU"/>
        </w:rPr>
        <w:t xml:space="preserve"> </w:t>
      </w:r>
      <w:r>
        <w:rPr>
          <w:rFonts w:ascii="Times New Roman" w:hAnsi="Times New Roman" w:eastAsia="Times New Roman" w:cs="Times New Roman"/>
          <w:iCs/>
          <w:sz w:val="28"/>
          <w:szCs w:val="28"/>
          <w:lang w:eastAsia="ru-RU"/>
        </w:rPr>
        <w:t>Қабыну</w:t>
      </w:r>
      <w:r>
        <w:rPr>
          <w:rFonts w:ascii="Times New Roman" w:hAnsi="Times New Roman" w:eastAsia="Times New Roman" w:cs="Times New Roman"/>
          <w:b/>
          <w:bCs/>
          <w:iCs/>
          <w:sz w:val="28"/>
          <w:szCs w:val="28"/>
          <w:lang w:eastAsia="ru-RU"/>
        </w:rPr>
        <w:t xml:space="preserve"> </w:t>
      </w:r>
      <w:r>
        <w:rPr>
          <w:rFonts w:ascii="Times New Roman" w:hAnsi="Times New Roman" w:eastAsia="Times New Roman" w:cs="Times New Roman"/>
          <w:iCs/>
          <w:sz w:val="28"/>
          <w:szCs w:val="28"/>
          <w:lang w:eastAsia="ru-RU"/>
        </w:rPr>
        <w:t>маркерлерінің зерттеу топтары арасындағы жұпаралық айырмашылығы</w:t>
      </w:r>
    </w:p>
    <w:p w14:paraId="0D975511">
      <w:pPr>
        <w:widowControl w:val="0"/>
        <w:autoSpaceDE w:val="0"/>
        <w:autoSpaceDN w:val="0"/>
        <w:spacing w:after="0" w:line="276" w:lineRule="auto"/>
        <w:ind w:firstLine="709"/>
        <w:jc w:val="both"/>
        <w:outlineLvl w:val="0"/>
        <w:rPr>
          <w:rFonts w:ascii="Times New Roman" w:hAnsi="Times New Roman" w:eastAsia="Times New Roman" w:cs="Times New Roman"/>
          <w:iCs/>
          <w:sz w:val="28"/>
          <w:szCs w:val="28"/>
          <w:lang w:eastAsia="ru-RU"/>
        </w:rPr>
      </w:pPr>
    </w:p>
    <w:tbl>
      <w:tblPr>
        <w:tblStyle w:val="13"/>
        <w:tblW w:w="0" w:type="auto"/>
        <w:tblInd w:w="0" w:type="dxa"/>
        <w:tblLayout w:type="autofit"/>
        <w:tblCellMar>
          <w:top w:w="15" w:type="dxa"/>
          <w:left w:w="15" w:type="dxa"/>
          <w:bottom w:w="15" w:type="dxa"/>
          <w:right w:w="15" w:type="dxa"/>
        </w:tblCellMar>
      </w:tblPr>
      <w:tblGrid>
        <w:gridCol w:w="1899"/>
        <w:gridCol w:w="1205"/>
        <w:gridCol w:w="1219"/>
        <w:gridCol w:w="1219"/>
        <w:gridCol w:w="1273"/>
        <w:gridCol w:w="1327"/>
        <w:gridCol w:w="1243"/>
      </w:tblGrid>
      <w:tr w14:paraId="2001A80B">
        <w:tblPrEx>
          <w:tblCellMar>
            <w:top w:w="15" w:type="dxa"/>
            <w:left w:w="15" w:type="dxa"/>
            <w:bottom w:w="15" w:type="dxa"/>
            <w:right w:w="15" w:type="dxa"/>
          </w:tblCellMar>
        </w:tblPrEx>
        <w:tc>
          <w:tcPr>
            <w:tcW w:w="1740" w:type="dxa"/>
            <w:tcBorders>
              <w:top w:val="outset" w:color="auto" w:sz="6" w:space="0"/>
              <w:left w:val="outset" w:color="auto" w:sz="6" w:space="0"/>
              <w:bottom w:val="outset" w:color="auto" w:sz="6" w:space="0"/>
              <w:right w:val="outset" w:color="auto" w:sz="6" w:space="0"/>
            </w:tcBorders>
          </w:tcPr>
          <w:p w14:paraId="01A721DB">
            <w:pPr>
              <w:widowControl w:val="0"/>
              <w:autoSpaceDE w:val="0"/>
              <w:autoSpaceDN w:val="0"/>
              <w:spacing w:before="100" w:beforeAutospacing="0" w:after="0" w:afterAutospacing="0" w:line="276" w:lineRule="auto"/>
              <w:jc w:val="both"/>
              <w:outlineLvl w:val="0"/>
              <w:rPr>
                <w:rFonts w:ascii="Times New Roman" w:hAnsi="Times New Roman" w:eastAsia="Times New Roman" w:cs="Times New Roman"/>
                <w:b/>
                <w:bCs/>
                <w:sz w:val="28"/>
                <w:szCs w:val="28"/>
                <w:lang w:val="en-US" w:eastAsia="ru-RU"/>
              </w:rPr>
            </w:pPr>
            <w:r>
              <w:rPr>
                <w:rFonts w:ascii="Times New Roman" w:hAnsi="Times New Roman" w:eastAsia="Times New Roman" w:cs="Times New Roman"/>
                <w:b/>
                <w:bCs/>
                <w:sz w:val="28"/>
                <w:szCs w:val="28"/>
                <w:lang w:val="en-US" w:eastAsia="ru-RU"/>
              </w:rPr>
              <w:t>Көрсеткіштер</w:t>
            </w:r>
          </w:p>
        </w:tc>
        <w:tc>
          <w:tcPr>
            <w:tcW w:w="1395" w:type="dxa"/>
            <w:tcBorders>
              <w:top w:val="outset" w:color="auto" w:sz="6" w:space="0"/>
              <w:left w:val="outset" w:color="auto" w:sz="6" w:space="0"/>
              <w:bottom w:val="outset" w:color="auto" w:sz="6" w:space="0"/>
              <w:right w:val="outset" w:color="auto" w:sz="6" w:space="0"/>
            </w:tcBorders>
          </w:tcPr>
          <w:p w14:paraId="03CA7646">
            <w:pPr>
              <w:widowControl w:val="0"/>
              <w:autoSpaceDE w:val="0"/>
              <w:autoSpaceDN w:val="0"/>
              <w:spacing w:before="100" w:beforeAutospacing="0" w:after="0" w:afterAutospacing="0" w:line="276" w:lineRule="auto"/>
              <w:jc w:val="center"/>
              <w:outlineLvl w:val="0"/>
              <w:rPr>
                <w:rFonts w:ascii="Times New Roman" w:hAnsi="Times New Roman" w:eastAsia="Times New Roman" w:cs="Times New Roman"/>
                <w:b/>
                <w:bCs/>
                <w:sz w:val="28"/>
                <w:szCs w:val="28"/>
                <w:lang w:val="en-US" w:eastAsia="ru-RU"/>
              </w:rPr>
            </w:pPr>
            <w:r>
              <w:rPr>
                <w:rFonts w:ascii="Times New Roman" w:hAnsi="Times New Roman" w:eastAsia="Times New Roman" w:cs="Times New Roman"/>
                <w:b/>
                <w:bCs/>
                <w:sz w:val="28"/>
                <w:szCs w:val="28"/>
                <w:lang w:val="en-US" w:eastAsia="ru-RU"/>
              </w:rPr>
              <w:t>1 және 2 топтар</w:t>
            </w:r>
          </w:p>
        </w:tc>
        <w:tc>
          <w:tcPr>
            <w:tcW w:w="1395" w:type="dxa"/>
            <w:tcBorders>
              <w:top w:val="outset" w:color="auto" w:sz="6" w:space="0"/>
              <w:left w:val="outset" w:color="auto" w:sz="6" w:space="0"/>
              <w:bottom w:val="outset" w:color="auto" w:sz="6" w:space="0"/>
              <w:right w:val="outset" w:color="auto" w:sz="6" w:space="0"/>
            </w:tcBorders>
          </w:tcPr>
          <w:p w14:paraId="09281940">
            <w:pPr>
              <w:widowControl w:val="0"/>
              <w:autoSpaceDE w:val="0"/>
              <w:autoSpaceDN w:val="0"/>
              <w:spacing w:before="100" w:beforeAutospacing="0" w:after="0" w:afterAutospacing="0" w:line="276" w:lineRule="auto"/>
              <w:jc w:val="center"/>
              <w:outlineLvl w:val="0"/>
              <w:rPr>
                <w:rFonts w:ascii="Times New Roman" w:hAnsi="Times New Roman" w:eastAsia="Times New Roman" w:cs="Times New Roman"/>
                <w:b/>
                <w:bCs/>
                <w:sz w:val="28"/>
                <w:szCs w:val="28"/>
                <w:lang w:val="en-US" w:eastAsia="ru-RU"/>
              </w:rPr>
            </w:pPr>
            <w:r>
              <w:rPr>
                <w:rFonts w:ascii="Times New Roman" w:hAnsi="Times New Roman" w:eastAsia="Times New Roman" w:cs="Times New Roman"/>
                <w:b/>
                <w:bCs/>
                <w:sz w:val="28"/>
                <w:szCs w:val="28"/>
                <w:lang w:val="en-US" w:eastAsia="ru-RU"/>
              </w:rPr>
              <w:t>1 және 3 топтар</w:t>
            </w:r>
          </w:p>
        </w:tc>
        <w:tc>
          <w:tcPr>
            <w:tcW w:w="1395" w:type="dxa"/>
            <w:tcBorders>
              <w:top w:val="outset" w:color="auto" w:sz="6" w:space="0"/>
              <w:left w:val="outset" w:color="auto" w:sz="6" w:space="0"/>
              <w:bottom w:val="outset" w:color="auto" w:sz="6" w:space="0"/>
              <w:right w:val="outset" w:color="auto" w:sz="6" w:space="0"/>
            </w:tcBorders>
          </w:tcPr>
          <w:p w14:paraId="625D659A">
            <w:pPr>
              <w:widowControl w:val="0"/>
              <w:autoSpaceDE w:val="0"/>
              <w:autoSpaceDN w:val="0"/>
              <w:spacing w:before="100" w:beforeAutospacing="0" w:after="0" w:afterAutospacing="0" w:line="276" w:lineRule="auto"/>
              <w:jc w:val="center"/>
              <w:outlineLvl w:val="0"/>
              <w:rPr>
                <w:rFonts w:ascii="Times New Roman" w:hAnsi="Times New Roman" w:eastAsia="Times New Roman" w:cs="Times New Roman"/>
                <w:b/>
                <w:bCs/>
                <w:sz w:val="28"/>
                <w:szCs w:val="28"/>
                <w:lang w:val="en-US" w:eastAsia="ru-RU"/>
              </w:rPr>
            </w:pPr>
            <w:r>
              <w:rPr>
                <w:rFonts w:ascii="Times New Roman" w:hAnsi="Times New Roman" w:eastAsia="Times New Roman" w:cs="Times New Roman"/>
                <w:b/>
                <w:bCs/>
                <w:sz w:val="28"/>
                <w:szCs w:val="28"/>
                <w:lang w:val="en-US" w:eastAsia="ru-RU"/>
              </w:rPr>
              <w:t>1 және 4 топтар</w:t>
            </w:r>
          </w:p>
        </w:tc>
        <w:tc>
          <w:tcPr>
            <w:tcW w:w="1395" w:type="dxa"/>
            <w:tcBorders>
              <w:top w:val="outset" w:color="auto" w:sz="6" w:space="0"/>
              <w:left w:val="outset" w:color="auto" w:sz="6" w:space="0"/>
              <w:bottom w:val="outset" w:color="auto" w:sz="6" w:space="0"/>
              <w:right w:val="outset" w:color="auto" w:sz="6" w:space="0"/>
            </w:tcBorders>
          </w:tcPr>
          <w:p w14:paraId="340FAC1B">
            <w:pPr>
              <w:widowControl w:val="0"/>
              <w:autoSpaceDE w:val="0"/>
              <w:autoSpaceDN w:val="0"/>
              <w:spacing w:before="100" w:beforeAutospacing="0" w:after="0" w:afterAutospacing="0" w:line="276" w:lineRule="auto"/>
              <w:jc w:val="center"/>
              <w:outlineLvl w:val="0"/>
              <w:rPr>
                <w:rFonts w:ascii="Times New Roman" w:hAnsi="Times New Roman" w:eastAsia="Times New Roman" w:cs="Times New Roman"/>
                <w:b/>
                <w:bCs/>
                <w:sz w:val="28"/>
                <w:szCs w:val="28"/>
                <w:lang w:val="en-US" w:eastAsia="ru-RU"/>
              </w:rPr>
            </w:pPr>
            <w:r>
              <w:rPr>
                <w:rFonts w:ascii="Times New Roman" w:hAnsi="Times New Roman" w:eastAsia="Times New Roman" w:cs="Times New Roman"/>
                <w:b/>
                <w:bCs/>
                <w:sz w:val="28"/>
                <w:szCs w:val="28"/>
                <w:lang w:val="en-US" w:eastAsia="ru-RU"/>
              </w:rPr>
              <w:t>2 және 3 топтар</w:t>
            </w:r>
          </w:p>
        </w:tc>
        <w:tc>
          <w:tcPr>
            <w:tcW w:w="1395" w:type="dxa"/>
            <w:tcBorders>
              <w:top w:val="outset" w:color="auto" w:sz="6" w:space="0"/>
              <w:left w:val="outset" w:color="auto" w:sz="6" w:space="0"/>
              <w:bottom w:val="outset" w:color="auto" w:sz="6" w:space="0"/>
              <w:right w:val="outset" w:color="auto" w:sz="6" w:space="0"/>
            </w:tcBorders>
          </w:tcPr>
          <w:p w14:paraId="584A47B9">
            <w:pPr>
              <w:widowControl w:val="0"/>
              <w:autoSpaceDE w:val="0"/>
              <w:autoSpaceDN w:val="0"/>
              <w:spacing w:before="100" w:beforeAutospacing="0" w:after="0" w:afterAutospacing="0" w:line="276" w:lineRule="auto"/>
              <w:jc w:val="center"/>
              <w:outlineLvl w:val="0"/>
              <w:rPr>
                <w:rFonts w:ascii="Times New Roman" w:hAnsi="Times New Roman" w:eastAsia="Times New Roman" w:cs="Times New Roman"/>
                <w:b/>
                <w:bCs/>
                <w:sz w:val="28"/>
                <w:szCs w:val="28"/>
                <w:lang w:val="en-US" w:eastAsia="ru-RU"/>
              </w:rPr>
            </w:pPr>
            <w:r>
              <w:rPr>
                <w:rFonts w:ascii="Times New Roman" w:hAnsi="Times New Roman" w:eastAsia="Times New Roman" w:cs="Times New Roman"/>
                <w:b/>
                <w:bCs/>
                <w:sz w:val="28"/>
                <w:szCs w:val="28"/>
                <w:lang w:val="en-US" w:eastAsia="ru-RU"/>
              </w:rPr>
              <w:t>2 және 4 топтар</w:t>
            </w:r>
          </w:p>
        </w:tc>
        <w:tc>
          <w:tcPr>
            <w:tcW w:w="1395" w:type="dxa"/>
            <w:tcBorders>
              <w:top w:val="outset" w:color="auto" w:sz="6" w:space="0"/>
              <w:left w:val="outset" w:color="auto" w:sz="6" w:space="0"/>
              <w:bottom w:val="outset" w:color="auto" w:sz="6" w:space="0"/>
              <w:right w:val="outset" w:color="auto" w:sz="6" w:space="0"/>
            </w:tcBorders>
          </w:tcPr>
          <w:p w14:paraId="34AE5BB9">
            <w:pPr>
              <w:widowControl w:val="0"/>
              <w:autoSpaceDE w:val="0"/>
              <w:autoSpaceDN w:val="0"/>
              <w:spacing w:before="100" w:beforeAutospacing="0" w:after="0" w:afterAutospacing="0" w:line="276" w:lineRule="auto"/>
              <w:jc w:val="center"/>
              <w:outlineLvl w:val="0"/>
              <w:rPr>
                <w:rFonts w:ascii="Times New Roman" w:hAnsi="Times New Roman" w:eastAsia="Times New Roman" w:cs="Times New Roman"/>
                <w:b/>
                <w:bCs/>
                <w:sz w:val="28"/>
                <w:szCs w:val="28"/>
                <w:lang w:val="en-US" w:eastAsia="ru-RU"/>
              </w:rPr>
            </w:pPr>
            <w:r>
              <w:rPr>
                <w:rFonts w:ascii="Times New Roman" w:hAnsi="Times New Roman" w:eastAsia="Times New Roman" w:cs="Times New Roman"/>
                <w:b/>
                <w:bCs/>
                <w:sz w:val="28"/>
                <w:szCs w:val="28"/>
                <w:lang w:val="en-US" w:eastAsia="ru-RU"/>
              </w:rPr>
              <w:t>3 және 4 топтар</w:t>
            </w:r>
          </w:p>
        </w:tc>
      </w:tr>
      <w:tr w14:paraId="1F6BA073">
        <w:tblPrEx>
          <w:tblCellMar>
            <w:top w:w="15" w:type="dxa"/>
            <w:left w:w="15" w:type="dxa"/>
            <w:bottom w:w="15" w:type="dxa"/>
            <w:right w:w="15" w:type="dxa"/>
          </w:tblCellMar>
        </w:tblPrEx>
        <w:tc>
          <w:tcPr>
            <w:tcW w:w="1740" w:type="dxa"/>
            <w:tcBorders>
              <w:top w:val="nil"/>
              <w:left w:val="outset" w:color="auto" w:sz="6" w:space="0"/>
              <w:bottom w:val="outset" w:color="auto" w:sz="6" w:space="0"/>
              <w:right w:val="outset" w:color="auto" w:sz="6" w:space="0"/>
            </w:tcBorders>
          </w:tcPr>
          <w:p w14:paraId="7A986DAF">
            <w:pPr>
              <w:widowControl w:val="0"/>
              <w:autoSpaceDE w:val="0"/>
              <w:autoSpaceDN w:val="0"/>
              <w:spacing w:before="100" w:beforeAutospacing="0" w:after="0" w:afterAutospacing="0" w:line="276" w:lineRule="auto"/>
              <w:jc w:val="both"/>
              <w:outlineLvl w:val="0"/>
              <w:rPr>
                <w:rFonts w:ascii="Times New Roman" w:hAnsi="Times New Roman" w:eastAsia="Times New Roman" w:cs="Times New Roman"/>
                <w:b/>
                <w:bCs/>
                <w:sz w:val="28"/>
                <w:szCs w:val="28"/>
                <w:lang w:val="en-US" w:eastAsia="ru-RU"/>
              </w:rPr>
            </w:pPr>
          </w:p>
        </w:tc>
        <w:tc>
          <w:tcPr>
            <w:tcW w:w="1395" w:type="dxa"/>
            <w:tcBorders>
              <w:top w:val="nil"/>
              <w:left w:val="outset" w:color="auto" w:sz="6" w:space="0"/>
              <w:bottom w:val="outset" w:color="auto" w:sz="6" w:space="0"/>
              <w:right w:val="outset" w:color="auto" w:sz="6" w:space="0"/>
            </w:tcBorders>
          </w:tcPr>
          <w:p w14:paraId="44B4BB8C">
            <w:pPr>
              <w:widowControl w:val="0"/>
              <w:autoSpaceDE w:val="0"/>
              <w:autoSpaceDN w:val="0"/>
              <w:spacing w:before="100" w:beforeAutospacing="0" w:after="0" w:afterAutospacing="0" w:line="276" w:lineRule="auto"/>
              <w:jc w:val="both"/>
              <w:outlineLvl w:val="0"/>
              <w:rPr>
                <w:rFonts w:ascii="Times New Roman" w:hAnsi="Times New Roman" w:eastAsia="Times New Roman" w:cs="Times New Roman"/>
                <w:b/>
                <w:bCs/>
                <w:sz w:val="28"/>
                <w:szCs w:val="28"/>
                <w:lang w:val="en-US" w:eastAsia="ru-RU"/>
              </w:rPr>
            </w:pPr>
            <w:r>
              <w:rPr>
                <w:rFonts w:ascii="Times New Roman" w:hAnsi="Times New Roman" w:eastAsia="Times New Roman" w:cs="Times New Roman"/>
                <w:sz w:val="28"/>
                <w:szCs w:val="28"/>
                <w:lang w:val="en-US" w:eastAsia="ru-RU"/>
              </w:rPr>
              <w:t>р</w:t>
            </w:r>
          </w:p>
        </w:tc>
        <w:tc>
          <w:tcPr>
            <w:tcW w:w="1395" w:type="dxa"/>
            <w:tcBorders>
              <w:top w:val="nil"/>
              <w:left w:val="outset" w:color="auto" w:sz="6" w:space="0"/>
              <w:bottom w:val="outset" w:color="auto" w:sz="6" w:space="0"/>
              <w:right w:val="outset" w:color="auto" w:sz="6" w:space="0"/>
            </w:tcBorders>
          </w:tcPr>
          <w:p w14:paraId="648BD621">
            <w:pPr>
              <w:widowControl w:val="0"/>
              <w:autoSpaceDE w:val="0"/>
              <w:autoSpaceDN w:val="0"/>
              <w:spacing w:before="100" w:beforeAutospacing="0" w:after="0" w:afterAutospacing="0" w:line="276" w:lineRule="auto"/>
              <w:jc w:val="both"/>
              <w:outlineLvl w:val="0"/>
              <w:rPr>
                <w:rFonts w:ascii="Times New Roman" w:hAnsi="Times New Roman" w:eastAsia="Times New Roman" w:cs="Times New Roman"/>
                <w:b/>
                <w:bCs/>
                <w:sz w:val="28"/>
                <w:szCs w:val="28"/>
                <w:lang w:val="en-US" w:eastAsia="ru-RU"/>
              </w:rPr>
            </w:pPr>
            <w:r>
              <w:rPr>
                <w:rFonts w:ascii="Times New Roman" w:hAnsi="Times New Roman" w:eastAsia="Times New Roman" w:cs="Times New Roman"/>
                <w:sz w:val="28"/>
                <w:szCs w:val="28"/>
                <w:lang w:val="en-US" w:eastAsia="ru-RU"/>
              </w:rPr>
              <w:t>р</w:t>
            </w:r>
          </w:p>
        </w:tc>
        <w:tc>
          <w:tcPr>
            <w:tcW w:w="1395" w:type="dxa"/>
            <w:tcBorders>
              <w:top w:val="nil"/>
              <w:left w:val="outset" w:color="auto" w:sz="6" w:space="0"/>
              <w:bottom w:val="outset" w:color="auto" w:sz="6" w:space="0"/>
              <w:right w:val="outset" w:color="auto" w:sz="6" w:space="0"/>
            </w:tcBorders>
          </w:tcPr>
          <w:p w14:paraId="63A29BE2">
            <w:pPr>
              <w:widowControl w:val="0"/>
              <w:autoSpaceDE w:val="0"/>
              <w:autoSpaceDN w:val="0"/>
              <w:spacing w:before="100" w:beforeAutospacing="0" w:after="0" w:afterAutospacing="0" w:line="276" w:lineRule="auto"/>
              <w:jc w:val="both"/>
              <w:outlineLvl w:val="0"/>
              <w:rPr>
                <w:rFonts w:ascii="Times New Roman" w:hAnsi="Times New Roman" w:eastAsia="Times New Roman" w:cs="Times New Roman"/>
                <w:b/>
                <w:bCs/>
                <w:sz w:val="28"/>
                <w:szCs w:val="28"/>
                <w:lang w:val="en-US" w:eastAsia="ru-RU"/>
              </w:rPr>
            </w:pPr>
            <w:r>
              <w:rPr>
                <w:rFonts w:ascii="Times New Roman" w:hAnsi="Times New Roman" w:eastAsia="Times New Roman" w:cs="Times New Roman"/>
                <w:sz w:val="28"/>
                <w:szCs w:val="28"/>
                <w:lang w:val="en-US" w:eastAsia="ru-RU"/>
              </w:rPr>
              <w:t>р</w:t>
            </w:r>
          </w:p>
        </w:tc>
        <w:tc>
          <w:tcPr>
            <w:tcW w:w="1395" w:type="dxa"/>
            <w:tcBorders>
              <w:top w:val="nil"/>
              <w:left w:val="outset" w:color="auto" w:sz="6" w:space="0"/>
              <w:bottom w:val="outset" w:color="auto" w:sz="6" w:space="0"/>
              <w:right w:val="outset" w:color="auto" w:sz="6" w:space="0"/>
            </w:tcBorders>
          </w:tcPr>
          <w:p w14:paraId="70431C84">
            <w:pPr>
              <w:widowControl w:val="0"/>
              <w:autoSpaceDE w:val="0"/>
              <w:autoSpaceDN w:val="0"/>
              <w:spacing w:before="100" w:beforeAutospacing="0" w:after="0" w:afterAutospacing="0" w:line="276" w:lineRule="auto"/>
              <w:jc w:val="both"/>
              <w:outlineLvl w:val="0"/>
              <w:rPr>
                <w:rFonts w:ascii="Times New Roman" w:hAnsi="Times New Roman" w:eastAsia="Times New Roman" w:cs="Times New Roman"/>
                <w:b/>
                <w:bCs/>
                <w:sz w:val="28"/>
                <w:szCs w:val="28"/>
                <w:lang w:val="en-US" w:eastAsia="ru-RU"/>
              </w:rPr>
            </w:pPr>
            <w:r>
              <w:rPr>
                <w:rFonts w:ascii="Times New Roman" w:hAnsi="Times New Roman" w:eastAsia="Times New Roman" w:cs="Times New Roman"/>
                <w:sz w:val="28"/>
                <w:szCs w:val="28"/>
                <w:lang w:val="en-US" w:eastAsia="ru-RU"/>
              </w:rPr>
              <w:t>р</w:t>
            </w:r>
          </w:p>
        </w:tc>
        <w:tc>
          <w:tcPr>
            <w:tcW w:w="1395" w:type="dxa"/>
            <w:tcBorders>
              <w:top w:val="nil"/>
              <w:left w:val="outset" w:color="auto" w:sz="6" w:space="0"/>
              <w:bottom w:val="outset" w:color="auto" w:sz="6" w:space="0"/>
              <w:right w:val="outset" w:color="auto" w:sz="6" w:space="0"/>
            </w:tcBorders>
          </w:tcPr>
          <w:p w14:paraId="59A9F7FA">
            <w:pPr>
              <w:widowControl w:val="0"/>
              <w:autoSpaceDE w:val="0"/>
              <w:autoSpaceDN w:val="0"/>
              <w:spacing w:before="100" w:beforeAutospacing="0" w:after="0" w:afterAutospacing="0" w:line="276" w:lineRule="auto"/>
              <w:jc w:val="both"/>
              <w:outlineLvl w:val="0"/>
              <w:rPr>
                <w:rFonts w:ascii="Times New Roman" w:hAnsi="Times New Roman" w:eastAsia="Times New Roman" w:cs="Times New Roman"/>
                <w:b/>
                <w:bCs/>
                <w:sz w:val="28"/>
                <w:szCs w:val="28"/>
                <w:lang w:val="en-US" w:eastAsia="ru-RU"/>
              </w:rPr>
            </w:pPr>
            <w:r>
              <w:rPr>
                <w:rFonts w:ascii="Times New Roman" w:hAnsi="Times New Roman" w:eastAsia="Times New Roman" w:cs="Times New Roman"/>
                <w:sz w:val="28"/>
                <w:szCs w:val="28"/>
                <w:lang w:val="en-US" w:eastAsia="ru-RU"/>
              </w:rPr>
              <w:t>р</w:t>
            </w:r>
          </w:p>
        </w:tc>
        <w:tc>
          <w:tcPr>
            <w:tcW w:w="1395" w:type="dxa"/>
            <w:tcBorders>
              <w:top w:val="nil"/>
              <w:left w:val="outset" w:color="auto" w:sz="6" w:space="0"/>
              <w:bottom w:val="outset" w:color="auto" w:sz="6" w:space="0"/>
              <w:right w:val="outset" w:color="auto" w:sz="6" w:space="0"/>
            </w:tcBorders>
          </w:tcPr>
          <w:p w14:paraId="689B0DC1">
            <w:pPr>
              <w:widowControl w:val="0"/>
              <w:autoSpaceDE w:val="0"/>
              <w:autoSpaceDN w:val="0"/>
              <w:spacing w:before="100" w:beforeAutospacing="0" w:after="0" w:afterAutospacing="0" w:line="276" w:lineRule="auto"/>
              <w:jc w:val="both"/>
              <w:outlineLvl w:val="0"/>
              <w:rPr>
                <w:rFonts w:ascii="Times New Roman" w:hAnsi="Times New Roman" w:eastAsia="Times New Roman" w:cs="Times New Roman"/>
                <w:b/>
                <w:bCs/>
                <w:sz w:val="28"/>
                <w:szCs w:val="28"/>
                <w:lang w:val="en-US" w:eastAsia="ru-RU"/>
              </w:rPr>
            </w:pPr>
            <w:r>
              <w:rPr>
                <w:rFonts w:ascii="Times New Roman" w:hAnsi="Times New Roman" w:eastAsia="Times New Roman" w:cs="Times New Roman"/>
                <w:sz w:val="28"/>
                <w:szCs w:val="28"/>
                <w:lang w:val="en-US" w:eastAsia="ru-RU"/>
              </w:rPr>
              <w:t>р</w:t>
            </w:r>
          </w:p>
        </w:tc>
      </w:tr>
      <w:tr w14:paraId="1CCCBB82">
        <w:tblPrEx>
          <w:tblCellMar>
            <w:top w:w="15" w:type="dxa"/>
            <w:left w:w="15" w:type="dxa"/>
            <w:bottom w:w="15" w:type="dxa"/>
            <w:right w:w="15" w:type="dxa"/>
          </w:tblCellMar>
        </w:tblPrEx>
        <w:tc>
          <w:tcPr>
            <w:tcW w:w="1740" w:type="dxa"/>
            <w:tcBorders>
              <w:top w:val="nil"/>
              <w:left w:val="outset" w:color="auto" w:sz="6" w:space="0"/>
              <w:bottom w:val="outset" w:color="auto" w:sz="6" w:space="0"/>
              <w:right w:val="outset" w:color="auto" w:sz="6" w:space="0"/>
            </w:tcBorders>
          </w:tcPr>
          <w:p w14:paraId="7EF70E80">
            <w:pPr>
              <w:widowControl w:val="0"/>
              <w:autoSpaceDE w:val="0"/>
              <w:autoSpaceDN w:val="0"/>
              <w:spacing w:before="100" w:beforeAutospacing="0" w:after="0" w:afterAutospacing="0" w:line="276" w:lineRule="auto"/>
              <w:jc w:val="both"/>
              <w:outlineLvl w:val="0"/>
              <w:rPr>
                <w:rFonts w:ascii="Times New Roman" w:hAnsi="Times New Roman" w:eastAsia="Times New Roman" w:cs="Times New Roman"/>
                <w:b/>
                <w:bCs/>
                <w:sz w:val="28"/>
                <w:szCs w:val="28"/>
                <w:lang w:val="en-US" w:eastAsia="ru-RU"/>
              </w:rPr>
            </w:pPr>
            <w:r>
              <w:rPr>
                <w:rFonts w:ascii="Times New Roman" w:hAnsi="Times New Roman" w:eastAsia="Times New Roman" w:cs="Times New Roman"/>
                <w:sz w:val="28"/>
                <w:szCs w:val="28"/>
                <w:lang w:val="en-US" w:eastAsia="ru-RU"/>
              </w:rPr>
              <w:t>С–реактивті ақуыз</w:t>
            </w:r>
          </w:p>
        </w:tc>
        <w:tc>
          <w:tcPr>
            <w:tcW w:w="1395" w:type="dxa"/>
            <w:tcBorders>
              <w:top w:val="nil"/>
              <w:left w:val="outset" w:color="auto" w:sz="6" w:space="0"/>
              <w:bottom w:val="outset" w:color="auto" w:sz="6" w:space="0"/>
              <w:right w:val="outset" w:color="auto" w:sz="6" w:space="0"/>
            </w:tcBorders>
          </w:tcPr>
          <w:p w14:paraId="66F44394">
            <w:pPr>
              <w:widowControl w:val="0"/>
              <w:autoSpaceDE w:val="0"/>
              <w:autoSpaceDN w:val="0"/>
              <w:spacing w:before="100" w:beforeAutospacing="0" w:after="0" w:afterAutospacing="0" w:line="276" w:lineRule="auto"/>
              <w:jc w:val="both"/>
              <w:outlineLvl w:val="0"/>
              <w:rPr>
                <w:rFonts w:ascii="Times New Roman" w:hAnsi="Times New Roman" w:eastAsia="Times New Roman" w:cs="Times New Roman"/>
                <w:b/>
                <w:bCs/>
                <w:sz w:val="28"/>
                <w:szCs w:val="28"/>
                <w:lang w:val="en-US" w:eastAsia="ru-RU"/>
              </w:rPr>
            </w:pPr>
            <w:r>
              <w:rPr>
                <w:rFonts w:ascii="Times New Roman" w:hAnsi="Times New Roman" w:eastAsia="Times New Roman" w:cs="Times New Roman"/>
                <w:b/>
                <w:bCs/>
                <w:sz w:val="28"/>
                <w:szCs w:val="28"/>
                <w:lang w:val="en-US" w:eastAsia="ru-RU"/>
              </w:rPr>
              <w:t>0,003*</w:t>
            </w:r>
          </w:p>
        </w:tc>
        <w:tc>
          <w:tcPr>
            <w:tcW w:w="1395" w:type="dxa"/>
            <w:tcBorders>
              <w:top w:val="nil"/>
              <w:left w:val="outset" w:color="auto" w:sz="6" w:space="0"/>
              <w:bottom w:val="outset" w:color="auto" w:sz="6" w:space="0"/>
              <w:right w:val="outset" w:color="auto" w:sz="6" w:space="0"/>
            </w:tcBorders>
          </w:tcPr>
          <w:p w14:paraId="43D16101">
            <w:pPr>
              <w:widowControl w:val="0"/>
              <w:autoSpaceDE w:val="0"/>
              <w:autoSpaceDN w:val="0"/>
              <w:spacing w:before="100" w:beforeAutospacing="0" w:after="0" w:afterAutospacing="0" w:line="276" w:lineRule="auto"/>
              <w:jc w:val="both"/>
              <w:outlineLvl w:val="0"/>
              <w:rPr>
                <w:rFonts w:ascii="Times New Roman" w:hAnsi="Times New Roman" w:eastAsia="Times New Roman" w:cs="Times New Roman"/>
                <w:b/>
                <w:bCs/>
                <w:sz w:val="28"/>
                <w:szCs w:val="28"/>
                <w:lang w:val="en-US" w:eastAsia="ru-RU"/>
              </w:rPr>
            </w:pPr>
            <w:r>
              <w:rPr>
                <w:rFonts w:ascii="Times New Roman" w:hAnsi="Times New Roman" w:eastAsia="Times New Roman" w:cs="Times New Roman"/>
                <w:sz w:val="28"/>
                <w:szCs w:val="28"/>
                <w:lang w:val="en-US" w:eastAsia="ru-RU"/>
              </w:rPr>
              <w:t>0,060</w:t>
            </w:r>
          </w:p>
        </w:tc>
        <w:tc>
          <w:tcPr>
            <w:tcW w:w="1395" w:type="dxa"/>
            <w:tcBorders>
              <w:top w:val="nil"/>
              <w:left w:val="outset" w:color="auto" w:sz="6" w:space="0"/>
              <w:bottom w:val="outset" w:color="auto" w:sz="6" w:space="0"/>
              <w:right w:val="outset" w:color="auto" w:sz="6" w:space="0"/>
            </w:tcBorders>
          </w:tcPr>
          <w:p w14:paraId="52832DD7">
            <w:pPr>
              <w:widowControl w:val="0"/>
              <w:autoSpaceDE w:val="0"/>
              <w:autoSpaceDN w:val="0"/>
              <w:spacing w:before="100" w:beforeAutospacing="0" w:after="0" w:afterAutospacing="0" w:line="276" w:lineRule="auto"/>
              <w:jc w:val="both"/>
              <w:outlineLvl w:val="0"/>
              <w:rPr>
                <w:rFonts w:ascii="Times New Roman" w:hAnsi="Times New Roman" w:eastAsia="Times New Roman" w:cs="Times New Roman"/>
                <w:b/>
                <w:bCs/>
                <w:sz w:val="28"/>
                <w:szCs w:val="28"/>
                <w:lang w:val="en-US" w:eastAsia="ru-RU"/>
              </w:rPr>
            </w:pPr>
            <w:r>
              <w:rPr>
                <w:rFonts w:ascii="Times New Roman" w:hAnsi="Times New Roman" w:eastAsia="Times New Roman" w:cs="Times New Roman"/>
                <w:b/>
                <w:bCs/>
                <w:sz w:val="28"/>
                <w:szCs w:val="28"/>
                <w:lang w:val="en-US" w:eastAsia="ru-RU"/>
              </w:rPr>
              <w:t>0,037*</w:t>
            </w:r>
          </w:p>
        </w:tc>
        <w:tc>
          <w:tcPr>
            <w:tcW w:w="1395" w:type="dxa"/>
            <w:tcBorders>
              <w:top w:val="nil"/>
              <w:left w:val="outset" w:color="auto" w:sz="6" w:space="0"/>
              <w:bottom w:val="outset" w:color="auto" w:sz="6" w:space="0"/>
              <w:right w:val="outset" w:color="auto" w:sz="6" w:space="0"/>
            </w:tcBorders>
          </w:tcPr>
          <w:p w14:paraId="0D828014">
            <w:pPr>
              <w:widowControl w:val="0"/>
              <w:autoSpaceDE w:val="0"/>
              <w:autoSpaceDN w:val="0"/>
              <w:spacing w:before="100" w:beforeAutospacing="0" w:after="0" w:afterAutospacing="0" w:line="276" w:lineRule="auto"/>
              <w:jc w:val="both"/>
              <w:outlineLvl w:val="0"/>
              <w:rPr>
                <w:rFonts w:ascii="Times New Roman" w:hAnsi="Times New Roman" w:eastAsia="Times New Roman" w:cs="Times New Roman"/>
                <w:b/>
                <w:bCs/>
                <w:sz w:val="28"/>
                <w:szCs w:val="28"/>
                <w:lang w:val="en-US" w:eastAsia="ru-RU"/>
              </w:rPr>
            </w:pPr>
            <w:r>
              <w:rPr>
                <w:rFonts w:ascii="Times New Roman" w:hAnsi="Times New Roman" w:eastAsia="Times New Roman" w:cs="Times New Roman"/>
                <w:b/>
                <w:bCs/>
                <w:sz w:val="28"/>
                <w:szCs w:val="28"/>
                <w:lang w:val="en-US" w:eastAsia="ru-RU"/>
              </w:rPr>
              <w:t>0,031*</w:t>
            </w:r>
          </w:p>
        </w:tc>
        <w:tc>
          <w:tcPr>
            <w:tcW w:w="1395" w:type="dxa"/>
            <w:tcBorders>
              <w:top w:val="nil"/>
              <w:left w:val="outset" w:color="auto" w:sz="6" w:space="0"/>
              <w:bottom w:val="outset" w:color="auto" w:sz="6" w:space="0"/>
              <w:right w:val="outset" w:color="auto" w:sz="6" w:space="0"/>
            </w:tcBorders>
          </w:tcPr>
          <w:p w14:paraId="6278331D">
            <w:pPr>
              <w:widowControl w:val="0"/>
              <w:autoSpaceDE w:val="0"/>
              <w:autoSpaceDN w:val="0"/>
              <w:spacing w:before="100" w:beforeAutospacing="0" w:after="0" w:afterAutospacing="0" w:line="276" w:lineRule="auto"/>
              <w:jc w:val="both"/>
              <w:outlineLvl w:val="0"/>
              <w:rPr>
                <w:rFonts w:ascii="Times New Roman" w:hAnsi="Times New Roman" w:eastAsia="Times New Roman" w:cs="Times New Roman"/>
                <w:b/>
                <w:bCs/>
                <w:sz w:val="28"/>
                <w:szCs w:val="28"/>
                <w:lang w:val="en-US" w:eastAsia="ru-RU"/>
              </w:rPr>
            </w:pPr>
            <w:r>
              <w:rPr>
                <w:rFonts w:ascii="Times New Roman" w:hAnsi="Times New Roman" w:eastAsia="Times New Roman" w:cs="Times New Roman"/>
                <w:b/>
                <w:bCs/>
                <w:sz w:val="28"/>
                <w:szCs w:val="28"/>
                <w:lang w:val="en-US" w:eastAsia="ru-RU"/>
              </w:rPr>
              <w:t>0,0002*</w:t>
            </w:r>
          </w:p>
        </w:tc>
        <w:tc>
          <w:tcPr>
            <w:tcW w:w="1395" w:type="dxa"/>
            <w:tcBorders>
              <w:top w:val="nil"/>
              <w:left w:val="outset" w:color="auto" w:sz="6" w:space="0"/>
              <w:bottom w:val="outset" w:color="auto" w:sz="6" w:space="0"/>
              <w:right w:val="outset" w:color="auto" w:sz="6" w:space="0"/>
            </w:tcBorders>
          </w:tcPr>
          <w:p w14:paraId="384DD40D">
            <w:pPr>
              <w:widowControl w:val="0"/>
              <w:autoSpaceDE w:val="0"/>
              <w:autoSpaceDN w:val="0"/>
              <w:spacing w:before="100" w:beforeAutospacing="0" w:after="0" w:afterAutospacing="0" w:line="276" w:lineRule="auto"/>
              <w:jc w:val="both"/>
              <w:outlineLvl w:val="0"/>
              <w:rPr>
                <w:rFonts w:ascii="Times New Roman" w:hAnsi="Times New Roman" w:eastAsia="Times New Roman" w:cs="Times New Roman"/>
                <w:b/>
                <w:bCs/>
                <w:sz w:val="28"/>
                <w:szCs w:val="28"/>
                <w:lang w:val="en-US" w:eastAsia="ru-RU"/>
              </w:rPr>
            </w:pPr>
            <w:r>
              <w:rPr>
                <w:rFonts w:ascii="Times New Roman" w:hAnsi="Times New Roman" w:eastAsia="Times New Roman" w:cs="Times New Roman"/>
                <w:b/>
                <w:bCs/>
                <w:sz w:val="28"/>
                <w:szCs w:val="28"/>
                <w:lang w:val="en-US" w:eastAsia="ru-RU"/>
              </w:rPr>
              <w:t>0,039*</w:t>
            </w:r>
          </w:p>
        </w:tc>
      </w:tr>
      <w:tr w14:paraId="1583D235">
        <w:tblPrEx>
          <w:tblCellMar>
            <w:top w:w="15" w:type="dxa"/>
            <w:left w:w="15" w:type="dxa"/>
            <w:bottom w:w="15" w:type="dxa"/>
            <w:right w:w="15" w:type="dxa"/>
          </w:tblCellMar>
        </w:tblPrEx>
        <w:tc>
          <w:tcPr>
            <w:tcW w:w="1740" w:type="dxa"/>
            <w:tcBorders>
              <w:top w:val="nil"/>
              <w:left w:val="outset" w:color="auto" w:sz="6" w:space="0"/>
              <w:bottom w:val="outset" w:color="auto" w:sz="6" w:space="0"/>
              <w:right w:val="outset" w:color="auto" w:sz="6" w:space="0"/>
            </w:tcBorders>
          </w:tcPr>
          <w:p w14:paraId="75423A52">
            <w:pPr>
              <w:widowControl w:val="0"/>
              <w:autoSpaceDE w:val="0"/>
              <w:autoSpaceDN w:val="0"/>
              <w:spacing w:before="100" w:beforeAutospacing="0" w:after="0" w:afterAutospacing="0" w:line="276" w:lineRule="auto"/>
              <w:jc w:val="both"/>
              <w:outlineLvl w:val="0"/>
              <w:rPr>
                <w:rFonts w:ascii="Times New Roman" w:hAnsi="Times New Roman" w:eastAsia="Times New Roman" w:cs="Times New Roman"/>
                <w:b/>
                <w:bCs/>
                <w:sz w:val="28"/>
                <w:szCs w:val="28"/>
                <w:lang w:val="en-US" w:eastAsia="ru-RU"/>
              </w:rPr>
            </w:pPr>
            <w:r>
              <w:rPr>
                <w:rFonts w:ascii="Times New Roman" w:hAnsi="Times New Roman" w:eastAsia="Times New Roman" w:cs="Times New Roman"/>
                <w:sz w:val="28"/>
                <w:szCs w:val="28"/>
                <w:lang w:val="en-US" w:eastAsia="ru-RU"/>
              </w:rPr>
              <w:t>Интерлейкин–6</w:t>
            </w:r>
          </w:p>
        </w:tc>
        <w:tc>
          <w:tcPr>
            <w:tcW w:w="1395" w:type="dxa"/>
            <w:tcBorders>
              <w:top w:val="nil"/>
              <w:left w:val="outset" w:color="auto" w:sz="6" w:space="0"/>
              <w:bottom w:val="outset" w:color="auto" w:sz="6" w:space="0"/>
              <w:right w:val="outset" w:color="auto" w:sz="6" w:space="0"/>
            </w:tcBorders>
          </w:tcPr>
          <w:p w14:paraId="08C462AA">
            <w:pPr>
              <w:widowControl w:val="0"/>
              <w:autoSpaceDE w:val="0"/>
              <w:autoSpaceDN w:val="0"/>
              <w:spacing w:before="100" w:beforeAutospacing="0" w:after="0" w:afterAutospacing="0" w:line="276" w:lineRule="auto"/>
              <w:jc w:val="both"/>
              <w:outlineLvl w:val="0"/>
              <w:rPr>
                <w:rFonts w:ascii="Times New Roman" w:hAnsi="Times New Roman" w:eastAsia="Times New Roman" w:cs="Times New Roman"/>
                <w:b/>
                <w:bCs/>
                <w:sz w:val="28"/>
                <w:szCs w:val="28"/>
                <w:lang w:val="en-US" w:eastAsia="ru-RU"/>
              </w:rPr>
            </w:pPr>
            <w:r>
              <w:rPr>
                <w:rFonts w:ascii="Times New Roman" w:hAnsi="Times New Roman" w:eastAsia="Times New Roman" w:cs="Times New Roman"/>
                <w:sz w:val="28"/>
                <w:szCs w:val="28"/>
                <w:lang w:val="en-US" w:eastAsia="ru-RU"/>
              </w:rPr>
              <w:t>0,120</w:t>
            </w:r>
          </w:p>
        </w:tc>
        <w:tc>
          <w:tcPr>
            <w:tcW w:w="1395" w:type="dxa"/>
            <w:tcBorders>
              <w:top w:val="nil"/>
              <w:left w:val="outset" w:color="auto" w:sz="6" w:space="0"/>
              <w:bottom w:val="outset" w:color="auto" w:sz="6" w:space="0"/>
              <w:right w:val="outset" w:color="auto" w:sz="6" w:space="0"/>
            </w:tcBorders>
          </w:tcPr>
          <w:p w14:paraId="7109C56F">
            <w:pPr>
              <w:widowControl w:val="0"/>
              <w:autoSpaceDE w:val="0"/>
              <w:autoSpaceDN w:val="0"/>
              <w:spacing w:before="100" w:beforeAutospacing="0" w:after="0" w:afterAutospacing="0" w:line="276" w:lineRule="auto"/>
              <w:jc w:val="both"/>
              <w:outlineLvl w:val="0"/>
              <w:rPr>
                <w:rFonts w:ascii="Times New Roman" w:hAnsi="Times New Roman" w:eastAsia="Times New Roman" w:cs="Times New Roman"/>
                <w:b/>
                <w:bCs/>
                <w:sz w:val="28"/>
                <w:szCs w:val="28"/>
                <w:lang w:val="en-US" w:eastAsia="ru-RU"/>
              </w:rPr>
            </w:pPr>
            <w:r>
              <w:rPr>
                <w:rFonts w:ascii="Times New Roman" w:hAnsi="Times New Roman" w:eastAsia="Times New Roman" w:cs="Times New Roman"/>
                <w:b/>
                <w:bCs/>
                <w:sz w:val="28"/>
                <w:szCs w:val="28"/>
                <w:lang w:val="en-US" w:eastAsia="ru-RU"/>
              </w:rPr>
              <w:t>0,0001*</w:t>
            </w:r>
          </w:p>
        </w:tc>
        <w:tc>
          <w:tcPr>
            <w:tcW w:w="1395" w:type="dxa"/>
            <w:tcBorders>
              <w:top w:val="nil"/>
              <w:left w:val="outset" w:color="auto" w:sz="6" w:space="0"/>
              <w:bottom w:val="outset" w:color="auto" w:sz="6" w:space="0"/>
              <w:right w:val="outset" w:color="auto" w:sz="6" w:space="0"/>
            </w:tcBorders>
          </w:tcPr>
          <w:p w14:paraId="1EE81D93">
            <w:pPr>
              <w:widowControl w:val="0"/>
              <w:autoSpaceDE w:val="0"/>
              <w:autoSpaceDN w:val="0"/>
              <w:spacing w:before="100" w:beforeAutospacing="0" w:after="0" w:afterAutospacing="0" w:line="276" w:lineRule="auto"/>
              <w:jc w:val="both"/>
              <w:outlineLvl w:val="0"/>
              <w:rPr>
                <w:rFonts w:ascii="Times New Roman" w:hAnsi="Times New Roman" w:eastAsia="Times New Roman" w:cs="Times New Roman"/>
                <w:b/>
                <w:bCs/>
                <w:sz w:val="28"/>
                <w:szCs w:val="28"/>
                <w:lang w:val="en-US" w:eastAsia="ru-RU"/>
              </w:rPr>
            </w:pPr>
            <w:r>
              <w:rPr>
                <w:rFonts w:ascii="Times New Roman" w:hAnsi="Times New Roman" w:eastAsia="Times New Roman" w:cs="Times New Roman"/>
                <w:b/>
                <w:bCs/>
                <w:sz w:val="28"/>
                <w:szCs w:val="28"/>
                <w:lang w:val="en-US" w:eastAsia="ru-RU"/>
              </w:rPr>
              <w:t>0,0001*</w:t>
            </w:r>
          </w:p>
        </w:tc>
        <w:tc>
          <w:tcPr>
            <w:tcW w:w="1395" w:type="dxa"/>
            <w:tcBorders>
              <w:top w:val="nil"/>
              <w:left w:val="outset" w:color="auto" w:sz="6" w:space="0"/>
              <w:bottom w:val="outset" w:color="auto" w:sz="6" w:space="0"/>
              <w:right w:val="outset" w:color="auto" w:sz="6" w:space="0"/>
            </w:tcBorders>
          </w:tcPr>
          <w:p w14:paraId="49C359C2">
            <w:pPr>
              <w:widowControl w:val="0"/>
              <w:autoSpaceDE w:val="0"/>
              <w:autoSpaceDN w:val="0"/>
              <w:spacing w:before="100" w:beforeAutospacing="0" w:after="0" w:afterAutospacing="0" w:line="276" w:lineRule="auto"/>
              <w:jc w:val="both"/>
              <w:outlineLvl w:val="0"/>
              <w:rPr>
                <w:rFonts w:ascii="Times New Roman" w:hAnsi="Times New Roman" w:eastAsia="Times New Roman" w:cs="Times New Roman"/>
                <w:b/>
                <w:bCs/>
                <w:sz w:val="28"/>
                <w:szCs w:val="28"/>
                <w:lang w:val="en-US" w:eastAsia="ru-RU"/>
              </w:rPr>
            </w:pPr>
            <w:r>
              <w:rPr>
                <w:rFonts w:ascii="Times New Roman" w:hAnsi="Times New Roman" w:eastAsia="Times New Roman" w:cs="Times New Roman"/>
                <w:b/>
                <w:bCs/>
                <w:sz w:val="28"/>
                <w:szCs w:val="28"/>
                <w:lang w:val="en-US" w:eastAsia="ru-RU"/>
              </w:rPr>
              <w:t>0,00004*</w:t>
            </w:r>
          </w:p>
        </w:tc>
        <w:tc>
          <w:tcPr>
            <w:tcW w:w="1395" w:type="dxa"/>
            <w:tcBorders>
              <w:top w:val="nil"/>
              <w:left w:val="outset" w:color="auto" w:sz="6" w:space="0"/>
              <w:bottom w:val="outset" w:color="auto" w:sz="6" w:space="0"/>
              <w:right w:val="outset" w:color="auto" w:sz="6" w:space="0"/>
            </w:tcBorders>
          </w:tcPr>
          <w:p w14:paraId="66573AA5">
            <w:pPr>
              <w:widowControl w:val="0"/>
              <w:autoSpaceDE w:val="0"/>
              <w:autoSpaceDN w:val="0"/>
              <w:spacing w:before="100" w:beforeAutospacing="0" w:after="0" w:afterAutospacing="0" w:line="276" w:lineRule="auto"/>
              <w:jc w:val="both"/>
              <w:outlineLvl w:val="0"/>
              <w:rPr>
                <w:rFonts w:ascii="Times New Roman" w:hAnsi="Times New Roman" w:eastAsia="Times New Roman" w:cs="Times New Roman"/>
                <w:b/>
                <w:bCs/>
                <w:sz w:val="28"/>
                <w:szCs w:val="28"/>
                <w:lang w:val="en-US" w:eastAsia="ru-RU"/>
              </w:rPr>
            </w:pPr>
            <w:r>
              <w:rPr>
                <w:rFonts w:ascii="Times New Roman" w:hAnsi="Times New Roman" w:eastAsia="Times New Roman" w:cs="Times New Roman"/>
                <w:b/>
                <w:bCs/>
                <w:sz w:val="28"/>
                <w:szCs w:val="28"/>
                <w:lang w:val="en-US" w:eastAsia="ru-RU"/>
              </w:rPr>
              <w:t>0,000001*</w:t>
            </w:r>
          </w:p>
        </w:tc>
        <w:tc>
          <w:tcPr>
            <w:tcW w:w="1395" w:type="dxa"/>
            <w:tcBorders>
              <w:top w:val="nil"/>
              <w:left w:val="outset" w:color="auto" w:sz="6" w:space="0"/>
              <w:bottom w:val="outset" w:color="auto" w:sz="6" w:space="0"/>
              <w:right w:val="outset" w:color="auto" w:sz="6" w:space="0"/>
            </w:tcBorders>
          </w:tcPr>
          <w:p w14:paraId="3B71BD9C">
            <w:pPr>
              <w:widowControl w:val="0"/>
              <w:autoSpaceDE w:val="0"/>
              <w:autoSpaceDN w:val="0"/>
              <w:spacing w:before="100" w:beforeAutospacing="0" w:after="0" w:afterAutospacing="0" w:line="276" w:lineRule="auto"/>
              <w:jc w:val="both"/>
              <w:outlineLvl w:val="0"/>
              <w:rPr>
                <w:rFonts w:ascii="Times New Roman" w:hAnsi="Times New Roman" w:eastAsia="Times New Roman" w:cs="Times New Roman"/>
                <w:b/>
                <w:bCs/>
                <w:sz w:val="28"/>
                <w:szCs w:val="28"/>
                <w:lang w:val="en-US" w:eastAsia="ru-RU"/>
              </w:rPr>
            </w:pPr>
            <w:r>
              <w:rPr>
                <w:rFonts w:ascii="Times New Roman" w:hAnsi="Times New Roman" w:eastAsia="Times New Roman" w:cs="Times New Roman"/>
                <w:sz w:val="28"/>
                <w:szCs w:val="28"/>
                <w:lang w:val="en-US" w:eastAsia="ru-RU"/>
              </w:rPr>
              <w:t>0,</w:t>
            </w:r>
            <w:r>
              <w:rPr>
                <w:rFonts w:ascii="Times New Roman" w:hAnsi="Times New Roman" w:eastAsia="Times New Roman" w:cs="Times New Roman"/>
                <w:sz w:val="28"/>
                <w:szCs w:val="28"/>
                <w:lang w:val="en-US"/>
              </w:rPr>
              <w:t>327</w:t>
            </w:r>
          </w:p>
        </w:tc>
      </w:tr>
      <w:tr w14:paraId="7A9BA677">
        <w:tblPrEx>
          <w:tblCellMar>
            <w:top w:w="15" w:type="dxa"/>
            <w:left w:w="15" w:type="dxa"/>
            <w:bottom w:w="15" w:type="dxa"/>
            <w:right w:w="15" w:type="dxa"/>
          </w:tblCellMar>
        </w:tblPrEx>
        <w:tc>
          <w:tcPr>
            <w:tcW w:w="10170" w:type="dxa"/>
            <w:gridSpan w:val="7"/>
            <w:tcBorders>
              <w:top w:val="nil"/>
              <w:left w:val="outset" w:color="auto" w:sz="6" w:space="0"/>
              <w:bottom w:val="outset" w:color="auto" w:sz="6" w:space="0"/>
              <w:right w:val="outset" w:color="auto" w:sz="6" w:space="0"/>
            </w:tcBorders>
          </w:tcPr>
          <w:p w14:paraId="7D23E822">
            <w:pPr>
              <w:widowControl w:val="0"/>
              <w:autoSpaceDE w:val="0"/>
              <w:autoSpaceDN w:val="0"/>
              <w:spacing w:before="100" w:beforeAutospacing="0" w:after="0" w:afterAutospacing="0" w:line="276" w:lineRule="auto"/>
              <w:jc w:val="both"/>
              <w:outlineLvl w:val="0"/>
              <w:rPr>
                <w:rFonts w:ascii="Times New Roman" w:hAnsi="Times New Roman" w:eastAsia="Times New Roman" w:cs="Times New Roman"/>
                <w:i/>
                <w:sz w:val="28"/>
                <w:szCs w:val="28"/>
                <w:lang w:val="en-US" w:eastAsia="ru-RU"/>
              </w:rPr>
            </w:pPr>
            <w:r>
              <w:rPr>
                <w:rFonts w:ascii="Times New Roman" w:hAnsi="Times New Roman" w:eastAsia="Times New Roman" w:cs="Times New Roman"/>
                <w:sz w:val="28"/>
                <w:szCs w:val="28"/>
                <w:lang w:val="en-US" w:eastAsia="ru-RU"/>
              </w:rPr>
              <w:t>*–</w:t>
            </w:r>
            <w:r>
              <w:rPr>
                <w:rFonts w:ascii="Times New Roman" w:hAnsi="Times New Roman" w:eastAsia="Times New Roman" w:cs="Times New Roman"/>
                <w:sz w:val="28"/>
                <w:szCs w:val="28"/>
                <w:lang w:val="en-US"/>
              </w:rPr>
              <w:tab/>
            </w:r>
            <w:r>
              <w:rPr>
                <w:rFonts w:ascii="Times New Roman" w:hAnsi="Times New Roman" w:eastAsia="Times New Roman" w:cs="Times New Roman"/>
                <w:i/>
                <w:iCs/>
                <w:sz w:val="28"/>
                <w:szCs w:val="28"/>
                <w:lang w:val="en-US"/>
              </w:rPr>
              <w:t xml:space="preserve">Мана–Уитни </w:t>
            </w:r>
            <w:r>
              <w:rPr>
                <w:rFonts w:ascii="Times New Roman" w:hAnsi="Times New Roman" w:eastAsia="Times New Roman" w:cs="Times New Roman"/>
                <w:i/>
                <w:sz w:val="28"/>
                <w:szCs w:val="28"/>
                <w:lang w:val="en-US"/>
              </w:rPr>
              <w:tab/>
            </w:r>
            <w:r>
              <w:rPr>
                <w:rFonts w:ascii="Times New Roman" w:hAnsi="Times New Roman" w:eastAsia="Times New Roman" w:cs="Times New Roman"/>
                <w:i/>
                <w:sz w:val="28"/>
                <w:szCs w:val="28"/>
                <w:lang w:val="en-US"/>
              </w:rPr>
              <w:t>параметрлік</w:t>
            </w:r>
            <w:r>
              <w:rPr>
                <w:rFonts w:ascii="Times New Roman" w:hAnsi="Times New Roman" w:eastAsia="Times New Roman" w:cs="Times New Roman"/>
                <w:i/>
                <w:sz w:val="28"/>
                <w:szCs w:val="28"/>
                <w:lang w:val="en-US"/>
              </w:rPr>
              <w:tab/>
            </w:r>
            <w:r>
              <w:rPr>
                <w:rFonts w:ascii="Times New Roman" w:hAnsi="Times New Roman" w:eastAsia="Times New Roman" w:cs="Times New Roman"/>
                <w:i/>
                <w:sz w:val="28"/>
                <w:szCs w:val="28"/>
                <w:lang w:val="en-US"/>
              </w:rPr>
              <w:t>емес</w:t>
            </w:r>
            <w:r>
              <w:rPr>
                <w:rFonts w:ascii="Times New Roman" w:hAnsi="Times New Roman" w:eastAsia="Times New Roman" w:cs="Times New Roman"/>
                <w:i/>
                <w:sz w:val="28"/>
                <w:szCs w:val="28"/>
                <w:lang w:val="en-US"/>
              </w:rPr>
              <w:tab/>
            </w:r>
            <w:r>
              <w:rPr>
                <w:rFonts w:ascii="Times New Roman" w:hAnsi="Times New Roman" w:eastAsia="Times New Roman" w:cs="Times New Roman"/>
                <w:i/>
                <w:sz w:val="28"/>
                <w:szCs w:val="28"/>
                <w:lang w:val="en-US"/>
              </w:rPr>
              <w:t>Z критерий</w:t>
            </w:r>
            <w:r>
              <w:rPr>
                <w:rFonts w:ascii="Times New Roman" w:hAnsi="Times New Roman" w:eastAsia="Times New Roman" w:cs="Times New Roman"/>
                <w:i/>
                <w:sz w:val="28"/>
                <w:szCs w:val="28"/>
                <w:lang w:val="en-US"/>
              </w:rPr>
              <w:tab/>
            </w:r>
            <w:r>
              <w:rPr>
                <w:rFonts w:ascii="Times New Roman" w:hAnsi="Times New Roman" w:eastAsia="Times New Roman" w:cs="Times New Roman"/>
                <w:i/>
                <w:sz w:val="28"/>
                <w:szCs w:val="28"/>
                <w:lang w:val="en-US"/>
              </w:rPr>
              <w:t>бойынша</w:t>
            </w:r>
          </w:p>
          <w:p w14:paraId="658D58FC">
            <w:pPr>
              <w:widowControl w:val="0"/>
              <w:autoSpaceDE w:val="0"/>
              <w:autoSpaceDN w:val="0"/>
              <w:spacing w:before="100" w:beforeAutospacing="0" w:after="0" w:afterAutospacing="0" w:line="276" w:lineRule="auto"/>
              <w:jc w:val="both"/>
              <w:outlineLvl w:val="0"/>
              <w:rPr>
                <w:rFonts w:ascii="Times New Roman" w:hAnsi="Times New Roman" w:eastAsia="Times New Roman" w:cs="Times New Roman"/>
                <w:b/>
                <w:bCs/>
                <w:sz w:val="28"/>
                <w:szCs w:val="28"/>
                <w:lang w:val="en-US" w:eastAsia="ru-RU"/>
              </w:rPr>
            </w:pPr>
            <w:r>
              <w:rPr>
                <w:rFonts w:ascii="Times New Roman" w:hAnsi="Times New Roman" w:eastAsia="Times New Roman" w:cs="Times New Roman"/>
                <w:i/>
                <w:sz w:val="28"/>
                <w:szCs w:val="28"/>
                <w:lang w:val="en-US" w:eastAsia="ru-RU"/>
              </w:rPr>
              <w:t>айырмашылығы,</w:t>
            </w:r>
            <w:r>
              <w:rPr>
                <w:rFonts w:ascii="Times New Roman" w:hAnsi="Times New Roman" w:eastAsia="Times New Roman" w:cs="Times New Roman"/>
                <w:i/>
                <w:sz w:val="28"/>
                <w:szCs w:val="28"/>
                <w:lang w:val="en-US"/>
              </w:rPr>
              <w:t xml:space="preserve"> кө</w:t>
            </w:r>
            <w:r>
              <w:rPr>
                <w:rFonts w:ascii="Times New Roman" w:hAnsi="Times New Roman" w:eastAsia="Times New Roman" w:cs="Times New Roman"/>
                <w:i/>
                <w:sz w:val="28"/>
                <w:szCs w:val="28"/>
                <w:lang w:val="en-US" w:eastAsia="ru-RU"/>
              </w:rPr>
              <w:t>рсеткіштердің өзгеру</w:t>
            </w:r>
            <w:r>
              <w:rPr>
                <w:rFonts w:ascii="Times New Roman" w:hAnsi="Times New Roman" w:eastAsia="Times New Roman" w:cs="Times New Roman"/>
                <w:i/>
                <w:sz w:val="28"/>
                <w:szCs w:val="28"/>
                <w:lang w:val="en-US"/>
              </w:rPr>
              <w:t xml:space="preserve"> растығ</w:t>
            </w:r>
            <w:r>
              <w:rPr>
                <w:rFonts w:ascii="Times New Roman" w:hAnsi="Times New Roman" w:eastAsia="Times New Roman" w:cs="Times New Roman"/>
                <w:i/>
                <w:sz w:val="28"/>
                <w:szCs w:val="28"/>
                <w:lang w:val="en-US" w:eastAsia="ru-RU"/>
              </w:rPr>
              <w:t>ы</w:t>
            </w:r>
            <w:r>
              <w:rPr>
                <w:rFonts w:ascii="Times New Roman" w:hAnsi="Times New Roman" w:eastAsia="Times New Roman" w:cs="Times New Roman"/>
                <w:i/>
                <w:sz w:val="28"/>
                <w:szCs w:val="28"/>
                <w:lang w:val="en-US"/>
              </w:rPr>
              <w:t xml:space="preserve"> кезінде p &lt; 0.05</w:t>
            </w:r>
          </w:p>
        </w:tc>
      </w:tr>
    </w:tbl>
    <w:p w14:paraId="404E2B27">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 </w:t>
      </w:r>
    </w:p>
    <w:p w14:paraId="11DA3DD4">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val="kk-KZ" w:eastAsia="ru-RU"/>
        </w:rPr>
      </w:pPr>
      <w:r>
        <w:rPr>
          <w:rFonts w:ascii="Times New Roman" w:hAnsi="Times New Roman" w:eastAsia="Times New Roman" w:cs="Times New Roman"/>
          <w:sz w:val="28"/>
          <w:szCs w:val="28"/>
          <w:lang w:eastAsia="ru-RU"/>
        </w:rPr>
        <w:t>Талдау нәтижесінде статистикалық маңызды айырмашылықтар келесі жұптарда анықталды: анемиясы бар жүкті әйелдерде (2-топ) бақылау тобымен (1-топ) салыстырғанда СРА деңгейінің төмендегені</w:t>
      </w:r>
      <w:r>
        <w:rPr>
          <w:rFonts w:ascii="Times New Roman" w:hAnsi="Times New Roman" w:eastAsia="Times New Roman" w:cs="Times New Roman"/>
          <w:sz w:val="28"/>
          <w:szCs w:val="28"/>
          <w:lang w:val="kk-KZ" w:eastAsia="ru-RU"/>
        </w:rPr>
        <w:t xml:space="preserve"> </w:t>
      </w:r>
      <w:r>
        <w:rPr>
          <w:rFonts w:ascii="Times New Roman" w:hAnsi="Times New Roman" w:eastAsia="Times New Roman" w:cs="Times New Roman"/>
          <w:sz w:val="28"/>
          <w:szCs w:val="28"/>
          <w:lang w:eastAsia="ru-RU"/>
        </w:rPr>
        <w:t>(10 - сурет) анықталды (Z=2,980, p=0,003), анемия мен семіздік бірлескен топта (4-топ) СРА деңгейі бақылау тобына қарағанда жоғары болды (Z=–2,087, p=0,037). Тек семіздігі бар жүкті әйелдерде (3-топ) СРА деңгейі тек анемиясы бар топпен (2-топ) салыстырғанда жоғары нәтиже көрсетті (Z=–2,160, p=0,031), анемия мен семіздік бірлескен топта (4-топ) СРА деңгейі тек анемиясы бар топпен (2-топ) салыстырғанда едәуір жоғары болды (Z=–3,735, p=0,0002). Тек семіздігі бар жүкті әйелдер мен (3-топ) анемия мен семіздік қатар кездескен топтар арасында (4-топ) СРА деңгейі бойынша айырмашылық тіркелді (Z=2,066, p=0,039). Осылайша анемия мен семіздік бірлескен жағдайда (4-топ) СРА деңгейі ең жоғары көрсеткішке жетті, бұл қабынудың күшеюін білдіреді.</w:t>
      </w:r>
      <w:r>
        <w:rPr>
          <w:rFonts w:ascii="Times New Roman" w:hAnsi="Times New Roman" w:eastAsia="Times New Roman" w:cs="Times New Roman"/>
          <w:sz w:val="28"/>
          <w:szCs w:val="28"/>
          <w:lang w:val="kk-KZ" w:eastAsia="ru-RU"/>
        </w:rPr>
        <w:t xml:space="preserve"> </w:t>
      </w:r>
    </w:p>
    <w:p w14:paraId="7C82AC81">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 </w:t>
      </w:r>
    </w:p>
    <w:p w14:paraId="3C20BD6F">
      <w:pPr>
        <w:autoSpaceDE w:val="0"/>
        <w:spacing w:after="0" w:line="276" w:lineRule="auto"/>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drawing>
          <wp:inline distT="0" distB="0" distL="0" distR="0">
            <wp:extent cx="5347970" cy="3034030"/>
            <wp:effectExtent l="0" t="0" r="5080" b="0"/>
            <wp:docPr id="103" name="Рисунок 103" descr="C:\Users\kgmuuser\AppData\Local\Temp\ksohtml7396\wps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Рисунок 103" descr="C:\Users\kgmuuser\AppData\Local\Temp\ksohtml7396\wps19.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a:xfrm>
                      <a:off x="0" y="0"/>
                      <a:ext cx="5347970" cy="3034030"/>
                    </a:xfrm>
                    <a:prstGeom prst="rect">
                      <a:avLst/>
                    </a:prstGeom>
                    <a:noFill/>
                    <a:ln>
                      <a:noFill/>
                    </a:ln>
                  </pic:spPr>
                </pic:pic>
              </a:graphicData>
            </a:graphic>
          </wp:inline>
        </w:drawing>
      </w:r>
      <w:r>
        <w:rPr>
          <w:rFonts w:ascii="Times New Roman" w:hAnsi="Times New Roman" w:eastAsia="Times New Roman" w:cs="Times New Roman"/>
          <w:sz w:val="28"/>
          <w:szCs w:val="28"/>
          <w:lang w:eastAsia="ru-RU"/>
        </w:rPr>
        <w:t xml:space="preserve"> </w:t>
      </w:r>
    </w:p>
    <w:p w14:paraId="4F102CCE">
      <w:pPr>
        <w:autoSpaceDE w:val="0"/>
        <w:spacing w:after="0" w:line="276" w:lineRule="auto"/>
        <w:ind w:firstLine="709"/>
        <w:jc w:val="both"/>
        <w:outlineLvl w:val="0"/>
        <w:rPr>
          <w:rFonts w:ascii="Times New Roman" w:hAnsi="Times New Roman" w:eastAsia="Times New Roman" w:cs="Times New Roman"/>
          <w:sz w:val="28"/>
          <w:szCs w:val="28"/>
          <w:lang w:eastAsia="ru-RU"/>
        </w:rPr>
      </w:pPr>
    </w:p>
    <w:p w14:paraId="3A93C0BD">
      <w:pPr>
        <w:autoSpaceDE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Сурет – 10. Предгестациялық семіздігі бар әйелдерде анемия дамуының предикторы ретінде қабыну медиаторлары, С–реактивті ақуызының зерттеу топтары арасындағы деңгейі</w:t>
      </w:r>
    </w:p>
    <w:p w14:paraId="5155EDB3">
      <w:pPr>
        <w:autoSpaceDE w:val="0"/>
        <w:spacing w:after="0" w:line="276" w:lineRule="auto"/>
        <w:ind w:firstLine="709"/>
        <w:jc w:val="both"/>
        <w:outlineLvl w:val="0"/>
        <w:rPr>
          <w:rFonts w:ascii="Times New Roman" w:hAnsi="Times New Roman" w:eastAsia="Times New Roman" w:cs="Times New Roman"/>
          <w:sz w:val="28"/>
          <w:szCs w:val="28"/>
          <w:lang w:eastAsia="ru-RU"/>
        </w:rPr>
      </w:pPr>
    </w:p>
    <w:p w14:paraId="688CBA1A">
      <w:pPr>
        <w:autoSpaceDE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sz w:val="28"/>
          <w:szCs w:val="28"/>
          <w:lang w:eastAsia="ru-RU"/>
        </w:rPr>
        <w:t>Семіздігі бар жүкті әйелдерде (3-топ) бақылау тобымен (1-топ) салыстырғанда ИЛ-6 деңгейінің жоғарылағаны байқалды (Z=–3,985, p=0,0001). Анемия мен семіздік бірлескен топта (4-топ) ИЛ-6 деңгейі бақылау тобымен салыстырғанда айтарлықтай жоғары болды (Z=–3,855, p=0,0001). Тек семіздігі бар жүкті әйелдерде (3-топ) ИЛ-6 деңгейі тек анемиясы бар топпен (2-топ) салыстырғанда едәуір жоғары болды (Z=–4,131, p=0,00004). Анемия мен семіздік бірлескен топта (4-топ) ИЛ-6 деңгейі тек анемиясы бар жүкті әйелдермен салыстырғанда (2-топ) ең жоғары нәтижені көрсетті (Z=–4,814, p=0,000001). Семіздігі бар жүкті әйелдерде ИЛ-6 деңгейі бақылау тобына және анемиясы бар топқа қарағанда 2–2,5 есе жоғары болды.</w:t>
      </w:r>
    </w:p>
    <w:p w14:paraId="79CC5B9F">
      <w:pPr>
        <w:autoSpaceDE w:val="0"/>
        <w:spacing w:after="0" w:line="276" w:lineRule="auto"/>
        <w:ind w:firstLine="709"/>
        <w:jc w:val="both"/>
        <w:outlineLvl w:val="0"/>
        <w:rPr>
          <w:rFonts w:ascii="Times New Roman" w:hAnsi="Times New Roman" w:eastAsia="Times New Roman" w:cs="Times New Roman"/>
          <w:i/>
          <w:sz w:val="28"/>
          <w:szCs w:val="28"/>
          <w:lang w:eastAsia="ru-RU"/>
        </w:rPr>
      </w:pPr>
      <w:r>
        <w:rPr>
          <w:rFonts w:ascii="Times New Roman" w:hAnsi="Times New Roman" w:eastAsia="Times New Roman" w:cs="Times New Roman"/>
          <w:i/>
          <w:sz w:val="28"/>
          <w:szCs w:val="28"/>
          <w:lang w:eastAsia="ru-RU"/>
        </w:rPr>
        <w:t xml:space="preserve"> </w:t>
      </w:r>
    </w:p>
    <w:p w14:paraId="2FE3DD59">
      <w:pPr>
        <w:autoSpaceDE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drawing>
          <wp:inline distT="0" distB="0" distL="0" distR="0">
            <wp:extent cx="5140325" cy="3048000"/>
            <wp:effectExtent l="0" t="0" r="3175" b="0"/>
            <wp:docPr id="104" name="Рисунок 104" descr="C:\Users\kgmuuser\AppData\Local\Temp\ksohtml7396\wps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Рисунок 104" descr="C:\Users\kgmuuser\AppData\Local\Temp\ksohtml7396\wps20.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a:xfrm>
                      <a:off x="0" y="0"/>
                      <a:ext cx="5140325" cy="3048000"/>
                    </a:xfrm>
                    <a:prstGeom prst="rect">
                      <a:avLst/>
                    </a:prstGeom>
                    <a:noFill/>
                    <a:ln>
                      <a:noFill/>
                    </a:ln>
                  </pic:spPr>
                </pic:pic>
              </a:graphicData>
            </a:graphic>
          </wp:inline>
        </w:drawing>
      </w:r>
      <w:r>
        <w:rPr>
          <w:rFonts w:ascii="Times New Roman" w:hAnsi="Times New Roman" w:eastAsia="Times New Roman" w:cs="Times New Roman"/>
          <w:sz w:val="28"/>
          <w:szCs w:val="28"/>
          <w:lang w:eastAsia="ru-RU"/>
        </w:rPr>
        <w:t xml:space="preserve"> </w:t>
      </w:r>
    </w:p>
    <w:p w14:paraId="53AF591A">
      <w:pPr>
        <w:widowControl w:val="0"/>
        <w:autoSpaceDE w:val="0"/>
        <w:autoSpaceDN w:val="0"/>
        <w:spacing w:after="0" w:line="276" w:lineRule="auto"/>
        <w:ind w:firstLine="709"/>
        <w:jc w:val="both"/>
        <w:outlineLvl w:val="0"/>
        <w:rPr>
          <w:rFonts w:ascii="Times New Roman" w:hAnsi="Times New Roman" w:eastAsia="Times New Roman" w:cs="Times New Roman"/>
          <w:bCs/>
          <w:iCs/>
          <w:sz w:val="28"/>
          <w:szCs w:val="28"/>
          <w:lang w:eastAsia="ru-RU"/>
        </w:rPr>
      </w:pPr>
    </w:p>
    <w:p w14:paraId="08FA1603">
      <w:pPr>
        <w:widowControl w:val="0"/>
        <w:autoSpaceDE w:val="0"/>
        <w:autoSpaceDN w:val="0"/>
        <w:spacing w:after="0" w:line="276" w:lineRule="auto"/>
        <w:ind w:firstLine="709"/>
        <w:jc w:val="both"/>
        <w:outlineLvl w:val="0"/>
        <w:rPr>
          <w:rFonts w:ascii="Times New Roman" w:hAnsi="Times New Roman" w:eastAsia="Times New Roman" w:cs="Times New Roman"/>
          <w:bCs/>
          <w:iCs/>
          <w:sz w:val="28"/>
          <w:szCs w:val="28"/>
          <w:lang w:eastAsia="ru-RU"/>
        </w:rPr>
      </w:pPr>
      <w:r>
        <w:rPr>
          <w:rFonts w:ascii="Times New Roman" w:hAnsi="Times New Roman" w:eastAsia="Times New Roman" w:cs="Times New Roman"/>
          <w:bCs/>
          <w:iCs/>
          <w:sz w:val="28"/>
          <w:szCs w:val="28"/>
          <w:lang w:eastAsia="ru-RU"/>
        </w:rPr>
        <w:t>Сурет – 11.  Предгестациялық семіздігі бар әйелдерде анемия дамуының предикторы ретінде қабыну медиаторы маркерлері, Интерлейкин–6–ның зерттеу топтары арасындағы деңгейі</w:t>
      </w:r>
    </w:p>
    <w:p w14:paraId="7D2B2337">
      <w:pPr>
        <w:widowControl w:val="0"/>
        <w:autoSpaceDE w:val="0"/>
        <w:autoSpaceDN w:val="0"/>
        <w:spacing w:after="0" w:line="276" w:lineRule="auto"/>
        <w:ind w:firstLine="709"/>
        <w:jc w:val="both"/>
        <w:outlineLvl w:val="0"/>
        <w:rPr>
          <w:rFonts w:ascii="Times New Roman" w:hAnsi="Times New Roman" w:eastAsia="Times New Roman" w:cs="Times New Roman"/>
          <w:bCs/>
          <w:iCs/>
          <w:sz w:val="28"/>
          <w:szCs w:val="28"/>
          <w:lang w:eastAsia="ru-RU"/>
        </w:rPr>
      </w:pPr>
    </w:p>
    <w:p w14:paraId="7AF2E2AC">
      <w:pPr>
        <w:autoSpaceDE w:val="0"/>
        <w:spacing w:after="0" w:line="276" w:lineRule="auto"/>
        <w:ind w:firstLine="709"/>
        <w:jc w:val="both"/>
        <w:outlineLvl w:val="0"/>
        <w:rPr>
          <w:rFonts w:ascii="Times New Roman" w:hAnsi="Times New Roman" w:eastAsia="Times New Roman" w:cs="Times New Roman"/>
          <w:bCs/>
          <w:i/>
          <w:sz w:val="28"/>
          <w:szCs w:val="28"/>
          <w:lang w:eastAsia="ru-RU"/>
        </w:rPr>
      </w:pPr>
      <w:r>
        <w:rPr>
          <w:rFonts w:ascii="Times New Roman" w:hAnsi="Times New Roman" w:eastAsia="Times New Roman"/>
          <w:sz w:val="28"/>
          <w:szCs w:val="28"/>
          <w:lang w:eastAsia="ru-RU"/>
        </w:rPr>
        <w:t>Екі қабыну маркерінің де деңгейлері семіздігі бар жүкті әйелдерде (3 және 4 топтар) бақылау тобына (1 топ) және тек анемиясы бар топқа (2 топ) қарағанда айтарлықтай жоғары екені анықталды. Бұл нәтижелер қабыну маркерлерінің семіздік пен анемияның бірлескен әсерінен елеулі өзгерістерге ұшырайтынын және олардың патогенездегі маңызды рөл атқаратынын көрсетеді. Бұл деректер 11 - суретте көрнекі түрде көрсетілген.</w:t>
      </w:r>
    </w:p>
    <w:p w14:paraId="52EEDDB0">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Осы тұста зерттеулерге тоқтала кететін болсақ, қабыну процестерінің механизмдерін түсіну мақсатында жүргізілген зерттеулер нейтрофилдердің қабыну ошақтарына тартылуы арқылы қабыну медиаторларын, оның ішінде TNF–α, цитокиндер және хемокиндерді өндіруге ынталандыратынын көрсетті [181]. Бұл процесс макрофагтар сияқты иммундық жасушалардың екінші толқынын қабыну орындарына тартуды индукциялайды [182, 183]. Зерттеулер артық салмағы бар адамдарда нейтрофилдер саны мен сарысудағы СРА концентрациясының жоғарылауы арасындағы байланыстарды анықтады [168, 169]. Сонымен қатар, метаболикалық синдромы бар адамдардың қанында нейтрофилдер саны ДСИ қалыпты адамдарға қарағанда айтарлықтай жоғары болған [169]. Нейтрофилездің лимфоциттердің төмендеуімен және СРА деңгейлерімен корреляциясы оны субклиникалық қабынуды анықтау үшін қарапайым әрі тиімді предикторға айналдырды [184]. Бұл қабыну маркерлері, әсіресе нейтрофилдер мен лимфоциттердің тепе-теңдігінің бұзылуы, иммундық жүйенің цитокиндерді индукциялап, қабынудың екіншілік толқынын тудыруына ықпал ететінін көрсетті.</w:t>
      </w:r>
    </w:p>
    <w:p w14:paraId="30BB96DC">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Жоғарыда көрсетілген гипотеза біздің зерттеу нәтижелерімізбен расталды. Нейтрофилдердің жоғарылауы, лимфоциттердің төмендеуі және СРА деңгейлерінің артуы жүкті әйелдер арасында анықталды, бұл қабыну процесінің семіздік пен анемия жағдайында күшейетінін көрсетеді. Біздің зерттеуіміздің айрықша ерекшелігі – бұл механизмнің жүкті әйелдер тобында зерттелуі, бұл жүктілік кезіндегі қабынудың ерекше аспектілерін түсінуге мүмкіндік берді. Бұл деректер қабыну маркерлерінің патогенездегі маңызды рөлін және олардың жүкті әйелдердегі ерекше физиологиялық жағдайларда қалай өзгеретінін айқын көрсетеді.</w:t>
      </w:r>
    </w:p>
    <w:p w14:paraId="27973B4F">
      <w:pPr>
        <w:widowControl w:val="0"/>
        <w:autoSpaceDE w:val="0"/>
        <w:autoSpaceDN w:val="0"/>
        <w:spacing w:after="0" w:line="276" w:lineRule="auto"/>
        <w:ind w:firstLine="709"/>
        <w:jc w:val="both"/>
        <w:outlineLvl w:val="0"/>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eastAsia="ru-RU"/>
        </w:rPr>
        <w:t xml:space="preserve"> </w:t>
      </w:r>
    </w:p>
    <w:p w14:paraId="6FCB00D1">
      <w:pPr>
        <w:widowControl w:val="0"/>
        <w:autoSpaceDE w:val="0"/>
        <w:autoSpaceDN w:val="0"/>
        <w:spacing w:after="0" w:line="276" w:lineRule="auto"/>
        <w:ind w:firstLine="709"/>
        <w:jc w:val="both"/>
        <w:outlineLvl w:val="0"/>
        <w:rPr>
          <w:rFonts w:ascii="Times New Roman" w:hAnsi="Times New Roman" w:eastAsia="Times New Roman" w:cs="Times New Roman"/>
          <w:b/>
          <w:bCs/>
          <w:sz w:val="28"/>
          <w:szCs w:val="28"/>
          <w:lang w:eastAsia="ru-RU"/>
        </w:rPr>
      </w:pPr>
      <w:r>
        <w:rPr>
          <w:rFonts w:ascii="Times New Roman" w:hAnsi="Times New Roman" w:eastAsia="Times New Roman" w:cs="Times New Roman"/>
          <w:b/>
          <w:sz w:val="28"/>
          <w:szCs w:val="28"/>
          <w:lang w:eastAsia="ru-RU"/>
        </w:rPr>
        <w:t>3.4</w:t>
      </w:r>
      <w:r>
        <w:rPr>
          <w:rFonts w:ascii="Times New Roman" w:hAnsi="Times New Roman" w:eastAsia="Times New Roman" w:cs="Times New Roman"/>
          <w:sz w:val="28"/>
          <w:szCs w:val="28"/>
          <w:lang w:eastAsia="ru-RU"/>
        </w:rPr>
        <w:t xml:space="preserve"> </w:t>
      </w:r>
      <w:r>
        <w:rPr>
          <w:rFonts w:ascii="Times New Roman" w:hAnsi="Times New Roman" w:eastAsia="Times New Roman" w:cs="Times New Roman"/>
          <w:b/>
          <w:bCs/>
          <w:sz w:val="28"/>
          <w:szCs w:val="28"/>
          <w:lang w:eastAsia="ru-RU"/>
        </w:rPr>
        <w:t>Жүктілікке дейінгі дене самағы индексі мен анемияның босану ағымына әсері</w:t>
      </w:r>
    </w:p>
    <w:p w14:paraId="59EB37D4">
      <w:pPr>
        <w:widowControl w:val="0"/>
        <w:autoSpaceDE w:val="0"/>
        <w:autoSpaceDN w:val="0"/>
        <w:spacing w:after="0" w:line="276" w:lineRule="auto"/>
        <w:ind w:firstLine="709"/>
        <w:jc w:val="both"/>
        <w:outlineLvl w:val="0"/>
        <w:rPr>
          <w:rFonts w:ascii="Times New Roman" w:hAnsi="Times New Roman" w:eastAsia="Times New Roman" w:cs="Times New Roman"/>
          <w:b/>
          <w:bCs/>
          <w:sz w:val="28"/>
          <w:szCs w:val="28"/>
          <w:lang w:eastAsia="ru-RU"/>
        </w:rPr>
      </w:pPr>
      <w:r>
        <w:rPr>
          <w:rFonts w:ascii="Times New Roman" w:hAnsi="Times New Roman" w:eastAsia="Times New Roman" w:cs="Times New Roman"/>
          <w:b/>
          <w:bCs/>
          <w:sz w:val="28"/>
          <w:szCs w:val="28"/>
          <w:lang w:eastAsia="ru-RU"/>
        </w:rPr>
        <w:t xml:space="preserve"> </w:t>
      </w:r>
    </w:p>
    <w:p w14:paraId="2FC99B0E">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Зерттеу топтары арасындағы босану барысы мен нәрестелік асқынуларды салыстырмалы тексеру үшін, Пирсонның Хи–квадрат критерийі қолданылды, себебі бір-біріне тәуелсіз төрт топ зерттелді (кесте–14). Талдау нәтижелері көрсеткендей, семіздігі бар жүкті әйелдерде бақылау тобымен салыстырғанда белгілі бір асқынулардың жиілігі айтарлықтай жоғары болды. Гестациялық диабет: семіздігі бар жүкті әйелдерде бұл көрсеткіш бақылау тобымен салыстырғанда 19,34%-дан 26,35%-ға дейін өсті (χ²=14,141, p=0,0027). Гестациялық гипертензия: пайда болу жиілігі 16,09%-дан 22,67%-ға дейін жоғарылады (χ²=9,958, p=0,0189). Иық дистоциясы бойынша: бұл асқынудың пайда болу мүмкіндігі 18,42%-дан 12,069%-ға дейін артты (χ²=12,069, p=0,0072).  Ірі ұрықпен босану жиілігі 11,11%-дан 18,42%-ға дейін өсті (χ²=7,958, p=0,0469). Нәрестелердің Апгар шкаласы бойынша төмен балл алу жиілігі 11,56%-дан 13,46%-ға дейін жоғарылады (χ²=10,594, p=0,0141).</w:t>
      </w:r>
    </w:p>
    <w:p w14:paraId="644E3629">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Қосымша талдау барысында Фишердің нақты критерийі қолданылып, «Ұрықтың антенатальді өлімі» көрсеткіші бойынша дені сау жүкті әйелдер мен анемиясы бар топтар арасында ғана статистикалық маңызды айырмашылық анықталды (р=0,0442).</w:t>
      </w:r>
    </w:p>
    <w:p w14:paraId="2780A713">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 </w:t>
      </w:r>
    </w:p>
    <w:p w14:paraId="0D965820">
      <w:pPr>
        <w:widowControl w:val="0"/>
        <w:autoSpaceDE w:val="0"/>
        <w:autoSpaceDN w:val="0"/>
        <w:spacing w:after="0" w:line="276" w:lineRule="auto"/>
        <w:ind w:firstLine="709"/>
        <w:jc w:val="both"/>
        <w:outlineLvl w:val="0"/>
        <w:rPr>
          <w:rFonts w:ascii="Times New Roman" w:hAnsi="Times New Roman" w:eastAsia="Times New Roman" w:cs="Times New Roman"/>
          <w:i/>
          <w:sz w:val="28"/>
          <w:szCs w:val="28"/>
          <w:lang w:eastAsia="ru-RU"/>
        </w:rPr>
      </w:pPr>
      <w:r>
        <w:rPr>
          <w:rFonts w:ascii="Times New Roman" w:hAnsi="Times New Roman" w:eastAsia="Times New Roman" w:cs="Times New Roman"/>
          <w:iCs/>
          <w:sz w:val="28"/>
          <w:szCs w:val="28"/>
          <w:lang w:eastAsia="ru-RU"/>
        </w:rPr>
        <w:t>Кесте–14. Зеттеу топтары арасындағы босану ағымы көрсеткіштері бойынша салыстыру нәтижесі</w:t>
      </w:r>
      <w:r>
        <w:rPr>
          <w:rFonts w:ascii="Times New Roman" w:hAnsi="Times New Roman" w:eastAsia="Times New Roman" w:cs="Times New Roman"/>
          <w:i/>
          <w:sz w:val="28"/>
          <w:szCs w:val="28"/>
          <w:lang w:eastAsia="ru-RU"/>
        </w:rPr>
        <w:t>.</w:t>
      </w:r>
    </w:p>
    <w:p w14:paraId="5BBF7D65">
      <w:pPr>
        <w:widowControl w:val="0"/>
        <w:autoSpaceDE w:val="0"/>
        <w:autoSpaceDN w:val="0"/>
        <w:spacing w:after="0" w:line="276" w:lineRule="auto"/>
        <w:ind w:firstLine="709"/>
        <w:jc w:val="both"/>
        <w:outlineLvl w:val="0"/>
        <w:rPr>
          <w:rFonts w:ascii="Times New Roman" w:hAnsi="Times New Roman" w:eastAsia="Times New Roman" w:cs="Times New Roman"/>
          <w:i/>
          <w:sz w:val="28"/>
          <w:szCs w:val="28"/>
          <w:lang w:eastAsia="ru-RU"/>
        </w:rPr>
      </w:pPr>
    </w:p>
    <w:tbl>
      <w:tblPr>
        <w:tblStyle w:val="5"/>
        <w:tblW w:w="0" w:type="auto"/>
        <w:tblInd w:w="0" w:type="dxa"/>
        <w:tblLayout w:type="autofit"/>
        <w:tblCellMar>
          <w:top w:w="15" w:type="dxa"/>
          <w:left w:w="15" w:type="dxa"/>
          <w:bottom w:w="15" w:type="dxa"/>
          <w:right w:w="15" w:type="dxa"/>
        </w:tblCellMar>
      </w:tblPr>
      <w:tblGrid>
        <w:gridCol w:w="1812"/>
        <w:gridCol w:w="711"/>
        <w:gridCol w:w="704"/>
        <w:gridCol w:w="703"/>
        <w:gridCol w:w="835"/>
        <w:gridCol w:w="703"/>
        <w:gridCol w:w="706"/>
        <w:gridCol w:w="703"/>
        <w:gridCol w:w="706"/>
        <w:gridCol w:w="833"/>
        <w:gridCol w:w="969"/>
      </w:tblGrid>
      <w:tr w14:paraId="4E8AB614">
        <w:tblPrEx>
          <w:tblCellMar>
            <w:top w:w="15" w:type="dxa"/>
            <w:left w:w="15" w:type="dxa"/>
            <w:bottom w:w="15" w:type="dxa"/>
            <w:right w:w="15" w:type="dxa"/>
          </w:tblCellMar>
        </w:tblPrEx>
        <w:tc>
          <w:tcPr>
            <w:tcW w:w="1812" w:type="dxa"/>
            <w:vMerge w:val="restart"/>
            <w:tcBorders>
              <w:top w:val="outset" w:color="auto" w:sz="6" w:space="0"/>
              <w:left w:val="outset" w:color="auto" w:sz="6" w:space="0"/>
              <w:right w:val="outset" w:color="auto" w:sz="6" w:space="0"/>
            </w:tcBorders>
          </w:tcPr>
          <w:p w14:paraId="5C3A6741">
            <w:pPr>
              <w:widowControl w:val="0"/>
              <w:autoSpaceDE w:val="0"/>
              <w:autoSpaceDN w:val="0"/>
              <w:spacing w:after="0" w:line="276" w:lineRule="auto"/>
              <w:jc w:val="both"/>
              <w:outlineLvl w:val="0"/>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Pr>
              <w:t>Көрсеткіштер</w:t>
            </w:r>
          </w:p>
        </w:tc>
        <w:tc>
          <w:tcPr>
            <w:tcW w:w="1415" w:type="dxa"/>
            <w:gridSpan w:val="2"/>
            <w:tcBorders>
              <w:top w:val="outset" w:color="auto" w:sz="6" w:space="0"/>
              <w:left w:val="outset" w:color="auto" w:sz="6" w:space="0"/>
              <w:bottom w:val="outset" w:color="auto" w:sz="6" w:space="0"/>
              <w:right w:val="outset" w:color="auto" w:sz="6" w:space="0"/>
            </w:tcBorders>
          </w:tcPr>
          <w:p w14:paraId="4798011A">
            <w:pPr>
              <w:widowControl w:val="0"/>
              <w:autoSpaceDE w:val="0"/>
              <w:autoSpaceDN w:val="0"/>
              <w:spacing w:after="0" w:line="276" w:lineRule="auto"/>
              <w:jc w:val="both"/>
              <w:outlineLvl w:val="0"/>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Pr>
              <w:t>Бақылау</w:t>
            </w:r>
          </w:p>
          <w:p w14:paraId="2D6F3024">
            <w:pPr>
              <w:widowControl w:val="0"/>
              <w:autoSpaceDE w:val="0"/>
              <w:autoSpaceDN w:val="0"/>
              <w:spacing w:after="0" w:line="276" w:lineRule="auto"/>
              <w:jc w:val="both"/>
              <w:outlineLvl w:val="0"/>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Pr>
              <w:t>тобы</w:t>
            </w:r>
          </w:p>
        </w:tc>
        <w:tc>
          <w:tcPr>
            <w:tcW w:w="4356" w:type="dxa"/>
            <w:gridSpan w:val="6"/>
            <w:tcBorders>
              <w:top w:val="outset" w:color="auto" w:sz="6" w:space="0"/>
              <w:left w:val="outset" w:color="auto" w:sz="6" w:space="0"/>
              <w:bottom w:val="outset" w:color="auto" w:sz="6" w:space="0"/>
              <w:right w:val="outset" w:color="auto" w:sz="6" w:space="0"/>
            </w:tcBorders>
          </w:tcPr>
          <w:p w14:paraId="1D96ABEC">
            <w:pPr>
              <w:widowControl w:val="0"/>
              <w:autoSpaceDE w:val="0"/>
              <w:autoSpaceDN w:val="0"/>
              <w:spacing w:after="0" w:line="276" w:lineRule="auto"/>
              <w:jc w:val="both"/>
              <w:outlineLvl w:val="0"/>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Pr>
              <w:t>Негізгі топтар</w:t>
            </w:r>
          </w:p>
        </w:tc>
        <w:tc>
          <w:tcPr>
            <w:tcW w:w="833" w:type="dxa"/>
            <w:vMerge w:val="restart"/>
            <w:tcBorders>
              <w:top w:val="outset" w:color="auto" w:sz="6" w:space="0"/>
              <w:left w:val="outset" w:color="auto" w:sz="6" w:space="0"/>
              <w:right w:val="outset" w:color="auto" w:sz="6" w:space="0"/>
            </w:tcBorders>
          </w:tcPr>
          <w:p w14:paraId="384E4437">
            <w:pPr>
              <w:widowControl w:val="0"/>
              <w:autoSpaceDE w:val="0"/>
              <w:autoSpaceDN w:val="0"/>
              <w:spacing w:after="0" w:line="276" w:lineRule="auto"/>
              <w:jc w:val="both"/>
              <w:outlineLvl w:val="0"/>
              <w:rPr>
                <w:rFonts w:ascii="Times New Roman" w:hAnsi="Times New Roman" w:eastAsia="Times New Roman" w:cs="Times New Roman"/>
                <w:sz w:val="28"/>
                <w:szCs w:val="28"/>
                <w:vertAlign w:val="superscript"/>
              </w:rPr>
            </w:pPr>
            <w:r>
              <w:rPr>
                <w:rFonts w:ascii="Times New Roman" w:hAnsi="Times New Roman" w:eastAsia="Times New Roman" w:cs="Times New Roman"/>
                <w:sz w:val="28"/>
                <w:szCs w:val="28"/>
              </w:rPr>
              <w:t>χ</w:t>
            </w:r>
            <w:r>
              <w:rPr>
                <w:rFonts w:ascii="Times New Roman" w:hAnsi="Times New Roman" w:eastAsia="Times New Roman" w:cs="Times New Roman"/>
                <w:sz w:val="28"/>
                <w:szCs w:val="28"/>
                <w:vertAlign w:val="superscript"/>
              </w:rPr>
              <w:t>2</w:t>
            </w:r>
          </w:p>
        </w:tc>
        <w:tc>
          <w:tcPr>
            <w:tcW w:w="969" w:type="dxa"/>
            <w:vMerge w:val="restart"/>
            <w:tcBorders>
              <w:top w:val="outset" w:color="auto" w:sz="6" w:space="0"/>
              <w:left w:val="outset" w:color="auto" w:sz="6" w:space="0"/>
              <w:right w:val="outset" w:color="auto" w:sz="6" w:space="0"/>
            </w:tcBorders>
          </w:tcPr>
          <w:p w14:paraId="2D9BD6C3">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p–level</w:t>
            </w:r>
          </w:p>
        </w:tc>
      </w:tr>
      <w:tr w14:paraId="0487287E">
        <w:tblPrEx>
          <w:tblCellMar>
            <w:top w:w="15" w:type="dxa"/>
            <w:left w:w="15" w:type="dxa"/>
            <w:bottom w:w="15" w:type="dxa"/>
            <w:right w:w="15" w:type="dxa"/>
          </w:tblCellMar>
        </w:tblPrEx>
        <w:tc>
          <w:tcPr>
            <w:tcW w:w="1812" w:type="dxa"/>
            <w:vMerge w:val="continue"/>
            <w:tcBorders>
              <w:left w:val="outset" w:color="auto" w:sz="6" w:space="0"/>
              <w:right w:val="outset" w:color="auto" w:sz="6" w:space="0"/>
            </w:tcBorders>
          </w:tcPr>
          <w:p w14:paraId="3A7802CB">
            <w:pPr>
              <w:widowControl w:val="0"/>
              <w:autoSpaceDE w:val="0"/>
              <w:autoSpaceDN w:val="0"/>
              <w:spacing w:after="0" w:line="276" w:lineRule="auto"/>
              <w:jc w:val="both"/>
              <w:outlineLvl w:val="0"/>
              <w:rPr>
                <w:rFonts w:ascii="Times New Roman" w:hAnsi="Times New Roman" w:eastAsia="Times New Roman" w:cs="Times New Roman"/>
                <w:b/>
                <w:bCs/>
                <w:sz w:val="28"/>
                <w:szCs w:val="28"/>
              </w:rPr>
            </w:pPr>
          </w:p>
        </w:tc>
        <w:tc>
          <w:tcPr>
            <w:tcW w:w="1415" w:type="dxa"/>
            <w:gridSpan w:val="2"/>
            <w:tcBorders>
              <w:top w:val="outset" w:color="auto" w:sz="6" w:space="0"/>
              <w:left w:val="outset" w:color="auto" w:sz="6" w:space="0"/>
              <w:bottom w:val="outset" w:color="auto" w:sz="6" w:space="0"/>
              <w:right w:val="outset" w:color="auto" w:sz="6" w:space="0"/>
            </w:tcBorders>
          </w:tcPr>
          <w:p w14:paraId="2910044F">
            <w:pPr>
              <w:widowControl w:val="0"/>
              <w:autoSpaceDE w:val="0"/>
              <w:autoSpaceDN w:val="0"/>
              <w:spacing w:after="0" w:line="276" w:lineRule="auto"/>
              <w:jc w:val="both"/>
              <w:outlineLvl w:val="0"/>
              <w:rPr>
                <w:rFonts w:ascii="Times New Roman" w:hAnsi="Times New Roman" w:eastAsia="Times New Roman" w:cs="Times New Roman"/>
                <w:b/>
                <w:bCs/>
                <w:sz w:val="28"/>
                <w:szCs w:val="28"/>
                <w:lang w:val="en-US"/>
              </w:rPr>
            </w:pPr>
            <w:r>
              <w:rPr>
                <w:rFonts w:ascii="Times New Roman" w:hAnsi="Times New Roman" w:eastAsia="Times New Roman" w:cs="Times New Roman"/>
                <w:b/>
                <w:bCs/>
                <w:sz w:val="28"/>
                <w:szCs w:val="28"/>
              </w:rPr>
              <w:t>1 топ</w:t>
            </w:r>
            <w:r>
              <w:rPr>
                <w:rFonts w:ascii="Times New Roman" w:hAnsi="Times New Roman" w:eastAsia="Times New Roman" w:cs="Times New Roman"/>
                <w:b/>
                <w:bCs/>
                <w:sz w:val="28"/>
                <w:szCs w:val="28"/>
                <w:lang w:val="en-US"/>
              </w:rPr>
              <w:t xml:space="preserve"> </w:t>
            </w:r>
            <w:r>
              <w:rPr>
                <w:rFonts w:ascii="Times New Roman" w:hAnsi="Times New Roman" w:eastAsia="Times New Roman" w:cs="Times New Roman"/>
                <w:b/>
                <w:bCs/>
                <w:sz w:val="28"/>
                <w:szCs w:val="28"/>
              </w:rPr>
              <w:t>%</w:t>
            </w:r>
          </w:p>
          <w:p w14:paraId="66820704">
            <w:pPr>
              <w:widowControl w:val="0"/>
              <w:autoSpaceDE w:val="0"/>
              <w:autoSpaceDN w:val="0"/>
              <w:spacing w:after="0" w:line="276" w:lineRule="auto"/>
              <w:jc w:val="both"/>
              <w:outlineLvl w:val="0"/>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Pr>
              <w:t>(n=43)</w:t>
            </w:r>
          </w:p>
        </w:tc>
        <w:tc>
          <w:tcPr>
            <w:tcW w:w="1538" w:type="dxa"/>
            <w:gridSpan w:val="2"/>
            <w:tcBorders>
              <w:top w:val="outset" w:color="auto" w:sz="6" w:space="0"/>
              <w:left w:val="outset" w:color="auto" w:sz="6" w:space="0"/>
              <w:bottom w:val="outset" w:color="auto" w:sz="6" w:space="0"/>
              <w:right w:val="outset" w:color="auto" w:sz="6" w:space="0"/>
            </w:tcBorders>
          </w:tcPr>
          <w:p w14:paraId="255406C3">
            <w:pPr>
              <w:widowControl w:val="0"/>
              <w:autoSpaceDE w:val="0"/>
              <w:autoSpaceDN w:val="0"/>
              <w:spacing w:after="0" w:line="276" w:lineRule="auto"/>
              <w:jc w:val="both"/>
              <w:outlineLvl w:val="0"/>
              <w:rPr>
                <w:rFonts w:ascii="Times New Roman" w:hAnsi="Times New Roman" w:eastAsia="Times New Roman" w:cs="Times New Roman"/>
                <w:b/>
                <w:bCs/>
                <w:sz w:val="28"/>
                <w:szCs w:val="28"/>
                <w:lang w:val="en-US"/>
              </w:rPr>
            </w:pPr>
            <w:r>
              <w:rPr>
                <w:rFonts w:ascii="Times New Roman" w:hAnsi="Times New Roman" w:eastAsia="Times New Roman" w:cs="Times New Roman"/>
                <w:b/>
                <w:bCs/>
                <w:sz w:val="28"/>
                <w:szCs w:val="28"/>
              </w:rPr>
              <w:t>2 топ</w:t>
            </w:r>
            <w:r>
              <w:rPr>
                <w:rFonts w:ascii="Times New Roman" w:hAnsi="Times New Roman" w:eastAsia="Times New Roman" w:cs="Times New Roman"/>
                <w:b/>
                <w:bCs/>
                <w:sz w:val="28"/>
                <w:szCs w:val="28"/>
                <w:lang w:val="en-US"/>
              </w:rPr>
              <w:t xml:space="preserve"> </w:t>
            </w:r>
            <w:r>
              <w:rPr>
                <w:rFonts w:ascii="Times New Roman" w:hAnsi="Times New Roman" w:eastAsia="Times New Roman" w:cs="Times New Roman"/>
                <w:b/>
                <w:bCs/>
                <w:sz w:val="28"/>
                <w:szCs w:val="28"/>
              </w:rPr>
              <w:t>%</w:t>
            </w:r>
          </w:p>
          <w:p w14:paraId="2394264E">
            <w:pPr>
              <w:widowControl w:val="0"/>
              <w:autoSpaceDE w:val="0"/>
              <w:autoSpaceDN w:val="0"/>
              <w:spacing w:after="0" w:line="276" w:lineRule="auto"/>
              <w:jc w:val="both"/>
              <w:outlineLvl w:val="0"/>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Pr>
              <w:t>(n=40)</w:t>
            </w:r>
          </w:p>
        </w:tc>
        <w:tc>
          <w:tcPr>
            <w:tcW w:w="1409" w:type="dxa"/>
            <w:gridSpan w:val="2"/>
            <w:tcBorders>
              <w:top w:val="outset" w:color="auto" w:sz="6" w:space="0"/>
              <w:left w:val="outset" w:color="auto" w:sz="6" w:space="0"/>
              <w:bottom w:val="outset" w:color="auto" w:sz="6" w:space="0"/>
              <w:right w:val="outset" w:color="auto" w:sz="6" w:space="0"/>
            </w:tcBorders>
          </w:tcPr>
          <w:p w14:paraId="058E5269">
            <w:pPr>
              <w:widowControl w:val="0"/>
              <w:autoSpaceDE w:val="0"/>
              <w:autoSpaceDN w:val="0"/>
              <w:spacing w:after="0" w:line="276" w:lineRule="auto"/>
              <w:jc w:val="both"/>
              <w:outlineLvl w:val="0"/>
              <w:rPr>
                <w:rFonts w:ascii="Times New Roman" w:hAnsi="Times New Roman" w:eastAsia="Times New Roman" w:cs="Times New Roman"/>
                <w:b/>
                <w:bCs/>
                <w:sz w:val="28"/>
                <w:szCs w:val="28"/>
                <w:lang w:val="en-US"/>
              </w:rPr>
            </w:pPr>
            <w:r>
              <w:rPr>
                <w:rFonts w:ascii="Times New Roman" w:hAnsi="Times New Roman" w:eastAsia="Times New Roman" w:cs="Times New Roman"/>
                <w:b/>
                <w:bCs/>
                <w:sz w:val="28"/>
                <w:szCs w:val="28"/>
              </w:rPr>
              <w:t>3 топ</w:t>
            </w:r>
            <w:r>
              <w:rPr>
                <w:rFonts w:ascii="Times New Roman" w:hAnsi="Times New Roman" w:eastAsia="Times New Roman" w:cs="Times New Roman"/>
                <w:b/>
                <w:bCs/>
                <w:sz w:val="28"/>
                <w:szCs w:val="28"/>
                <w:lang w:val="en-US"/>
              </w:rPr>
              <w:t xml:space="preserve"> </w:t>
            </w:r>
            <w:r>
              <w:rPr>
                <w:rFonts w:ascii="Times New Roman" w:hAnsi="Times New Roman" w:eastAsia="Times New Roman" w:cs="Times New Roman"/>
                <w:b/>
                <w:bCs/>
                <w:sz w:val="28"/>
                <w:szCs w:val="28"/>
              </w:rPr>
              <w:t>%</w:t>
            </w:r>
          </w:p>
          <w:p w14:paraId="3FFC31FA">
            <w:pPr>
              <w:widowControl w:val="0"/>
              <w:autoSpaceDE w:val="0"/>
              <w:autoSpaceDN w:val="0"/>
              <w:spacing w:after="0" w:line="276" w:lineRule="auto"/>
              <w:jc w:val="both"/>
              <w:outlineLvl w:val="0"/>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Pr>
              <w:t>(n=48)</w:t>
            </w:r>
          </w:p>
        </w:tc>
        <w:tc>
          <w:tcPr>
            <w:tcW w:w="1409" w:type="dxa"/>
            <w:gridSpan w:val="2"/>
            <w:tcBorders>
              <w:top w:val="outset" w:color="auto" w:sz="6" w:space="0"/>
              <w:left w:val="outset" w:color="auto" w:sz="6" w:space="0"/>
              <w:bottom w:val="outset" w:color="auto" w:sz="6" w:space="0"/>
              <w:right w:val="outset" w:color="auto" w:sz="6" w:space="0"/>
            </w:tcBorders>
          </w:tcPr>
          <w:p w14:paraId="491627A0">
            <w:pPr>
              <w:widowControl w:val="0"/>
              <w:autoSpaceDE w:val="0"/>
              <w:autoSpaceDN w:val="0"/>
              <w:spacing w:after="0" w:line="276" w:lineRule="auto"/>
              <w:jc w:val="both"/>
              <w:outlineLvl w:val="0"/>
              <w:rPr>
                <w:rFonts w:ascii="Times New Roman" w:hAnsi="Times New Roman" w:eastAsia="Times New Roman" w:cs="Times New Roman"/>
                <w:b/>
                <w:bCs/>
                <w:sz w:val="28"/>
                <w:szCs w:val="28"/>
                <w:lang w:val="en-US"/>
              </w:rPr>
            </w:pPr>
            <w:r>
              <w:rPr>
                <w:rFonts w:ascii="Times New Roman" w:hAnsi="Times New Roman" w:eastAsia="Times New Roman" w:cs="Times New Roman"/>
                <w:b/>
                <w:bCs/>
                <w:sz w:val="28"/>
                <w:szCs w:val="28"/>
              </w:rPr>
              <w:t>4 топ</w:t>
            </w:r>
            <w:r>
              <w:rPr>
                <w:rFonts w:ascii="Times New Roman" w:hAnsi="Times New Roman" w:eastAsia="Times New Roman" w:cs="Times New Roman"/>
                <w:b/>
                <w:bCs/>
                <w:sz w:val="28"/>
                <w:szCs w:val="28"/>
                <w:lang w:val="en-US"/>
              </w:rPr>
              <w:t xml:space="preserve"> </w:t>
            </w:r>
            <w:r>
              <w:rPr>
                <w:rFonts w:ascii="Times New Roman" w:hAnsi="Times New Roman" w:eastAsia="Times New Roman" w:cs="Times New Roman"/>
                <w:b/>
                <w:bCs/>
                <w:sz w:val="28"/>
                <w:szCs w:val="28"/>
              </w:rPr>
              <w:t>%</w:t>
            </w:r>
          </w:p>
          <w:p w14:paraId="71FAFCDD">
            <w:pPr>
              <w:widowControl w:val="0"/>
              <w:autoSpaceDE w:val="0"/>
              <w:autoSpaceDN w:val="0"/>
              <w:spacing w:after="0" w:line="276" w:lineRule="auto"/>
              <w:jc w:val="both"/>
              <w:outlineLvl w:val="0"/>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Pr>
              <w:t>(n=36)</w:t>
            </w:r>
          </w:p>
        </w:tc>
        <w:tc>
          <w:tcPr>
            <w:tcW w:w="833" w:type="dxa"/>
            <w:vMerge w:val="continue"/>
            <w:tcBorders>
              <w:left w:val="outset" w:color="auto" w:sz="6" w:space="0"/>
              <w:right w:val="outset" w:color="auto" w:sz="6" w:space="0"/>
            </w:tcBorders>
          </w:tcPr>
          <w:p w14:paraId="44C39F06">
            <w:pPr>
              <w:widowControl w:val="0"/>
              <w:autoSpaceDE w:val="0"/>
              <w:autoSpaceDN w:val="0"/>
              <w:spacing w:after="0" w:line="276" w:lineRule="auto"/>
              <w:jc w:val="both"/>
              <w:outlineLvl w:val="0"/>
              <w:rPr>
                <w:rFonts w:ascii="Times New Roman" w:hAnsi="Times New Roman" w:eastAsia="Times New Roman" w:cs="Times New Roman"/>
                <w:sz w:val="28"/>
                <w:szCs w:val="28"/>
              </w:rPr>
            </w:pPr>
          </w:p>
        </w:tc>
        <w:tc>
          <w:tcPr>
            <w:tcW w:w="969" w:type="dxa"/>
            <w:vMerge w:val="continue"/>
            <w:tcBorders>
              <w:left w:val="outset" w:color="auto" w:sz="6" w:space="0"/>
              <w:right w:val="outset" w:color="auto" w:sz="6" w:space="0"/>
            </w:tcBorders>
          </w:tcPr>
          <w:p w14:paraId="1FB88305">
            <w:pPr>
              <w:widowControl w:val="0"/>
              <w:autoSpaceDE w:val="0"/>
              <w:autoSpaceDN w:val="0"/>
              <w:spacing w:after="0" w:line="276" w:lineRule="auto"/>
              <w:jc w:val="both"/>
              <w:outlineLvl w:val="0"/>
              <w:rPr>
                <w:rFonts w:ascii="Times New Roman" w:hAnsi="Times New Roman" w:eastAsia="Times New Roman" w:cs="Times New Roman"/>
                <w:sz w:val="28"/>
                <w:szCs w:val="28"/>
              </w:rPr>
            </w:pPr>
          </w:p>
        </w:tc>
      </w:tr>
      <w:tr w14:paraId="3A1265B3">
        <w:tblPrEx>
          <w:tblCellMar>
            <w:top w:w="15" w:type="dxa"/>
            <w:left w:w="15" w:type="dxa"/>
            <w:bottom w:w="15" w:type="dxa"/>
            <w:right w:w="15" w:type="dxa"/>
          </w:tblCellMar>
        </w:tblPrEx>
        <w:tc>
          <w:tcPr>
            <w:tcW w:w="1812" w:type="dxa"/>
            <w:vMerge w:val="continue"/>
            <w:tcBorders>
              <w:left w:val="outset" w:color="auto" w:sz="6" w:space="0"/>
              <w:bottom w:val="outset" w:color="auto" w:sz="6" w:space="0"/>
              <w:right w:val="outset" w:color="auto" w:sz="6" w:space="0"/>
            </w:tcBorders>
          </w:tcPr>
          <w:p w14:paraId="50291CCD">
            <w:pPr>
              <w:widowControl w:val="0"/>
              <w:autoSpaceDE w:val="0"/>
              <w:autoSpaceDN w:val="0"/>
              <w:spacing w:after="0" w:line="276" w:lineRule="auto"/>
              <w:jc w:val="both"/>
              <w:outlineLvl w:val="0"/>
              <w:rPr>
                <w:rFonts w:ascii="Times New Roman" w:hAnsi="Times New Roman" w:eastAsia="Times New Roman" w:cs="Times New Roman"/>
                <w:sz w:val="28"/>
                <w:szCs w:val="28"/>
              </w:rPr>
            </w:pPr>
          </w:p>
        </w:tc>
        <w:tc>
          <w:tcPr>
            <w:tcW w:w="711" w:type="dxa"/>
            <w:tcBorders>
              <w:top w:val="nil"/>
              <w:left w:val="outset" w:color="auto" w:sz="6" w:space="0"/>
              <w:bottom w:val="outset" w:color="auto" w:sz="6" w:space="0"/>
              <w:right w:val="outset" w:color="auto" w:sz="6" w:space="0"/>
            </w:tcBorders>
          </w:tcPr>
          <w:p w14:paraId="5442B2B2">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w:t>
            </w:r>
          </w:p>
        </w:tc>
        <w:tc>
          <w:tcPr>
            <w:tcW w:w="704" w:type="dxa"/>
            <w:tcBorders>
              <w:top w:val="nil"/>
              <w:left w:val="outset" w:color="auto" w:sz="6" w:space="0"/>
              <w:bottom w:val="outset" w:color="auto" w:sz="6" w:space="0"/>
              <w:right w:val="outset" w:color="auto" w:sz="6" w:space="0"/>
            </w:tcBorders>
          </w:tcPr>
          <w:p w14:paraId="1DCE48C8">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w:t>
            </w:r>
          </w:p>
        </w:tc>
        <w:tc>
          <w:tcPr>
            <w:tcW w:w="703" w:type="dxa"/>
            <w:tcBorders>
              <w:top w:val="nil"/>
              <w:left w:val="outset" w:color="auto" w:sz="6" w:space="0"/>
              <w:bottom w:val="outset" w:color="auto" w:sz="6" w:space="0"/>
              <w:right w:val="outset" w:color="auto" w:sz="6" w:space="0"/>
            </w:tcBorders>
          </w:tcPr>
          <w:p w14:paraId="0DCAECA3">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w:t>
            </w:r>
          </w:p>
        </w:tc>
        <w:tc>
          <w:tcPr>
            <w:tcW w:w="835" w:type="dxa"/>
            <w:tcBorders>
              <w:top w:val="nil"/>
              <w:left w:val="outset" w:color="auto" w:sz="6" w:space="0"/>
              <w:bottom w:val="outset" w:color="auto" w:sz="6" w:space="0"/>
              <w:right w:val="outset" w:color="auto" w:sz="6" w:space="0"/>
            </w:tcBorders>
          </w:tcPr>
          <w:p w14:paraId="3CE4E3BC">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w:t>
            </w:r>
          </w:p>
        </w:tc>
        <w:tc>
          <w:tcPr>
            <w:tcW w:w="703" w:type="dxa"/>
            <w:tcBorders>
              <w:top w:val="nil"/>
              <w:left w:val="outset" w:color="auto" w:sz="6" w:space="0"/>
              <w:bottom w:val="outset" w:color="auto" w:sz="6" w:space="0"/>
              <w:right w:val="outset" w:color="auto" w:sz="6" w:space="0"/>
            </w:tcBorders>
          </w:tcPr>
          <w:p w14:paraId="340177D1">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w:t>
            </w:r>
          </w:p>
        </w:tc>
        <w:tc>
          <w:tcPr>
            <w:tcW w:w="706" w:type="dxa"/>
            <w:tcBorders>
              <w:top w:val="nil"/>
              <w:left w:val="outset" w:color="auto" w:sz="6" w:space="0"/>
              <w:bottom w:val="outset" w:color="auto" w:sz="6" w:space="0"/>
              <w:right w:val="outset" w:color="auto" w:sz="6" w:space="0"/>
            </w:tcBorders>
          </w:tcPr>
          <w:p w14:paraId="375E6292">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w:t>
            </w:r>
          </w:p>
        </w:tc>
        <w:tc>
          <w:tcPr>
            <w:tcW w:w="703" w:type="dxa"/>
            <w:tcBorders>
              <w:top w:val="outset" w:color="auto" w:sz="6" w:space="0"/>
              <w:left w:val="outset" w:color="auto" w:sz="6" w:space="0"/>
              <w:bottom w:val="outset" w:color="auto" w:sz="6" w:space="0"/>
              <w:right w:val="outset" w:color="auto" w:sz="6" w:space="0"/>
            </w:tcBorders>
          </w:tcPr>
          <w:p w14:paraId="3AF8461E">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w:t>
            </w:r>
          </w:p>
        </w:tc>
        <w:tc>
          <w:tcPr>
            <w:tcW w:w="706" w:type="dxa"/>
            <w:tcBorders>
              <w:top w:val="outset" w:color="auto" w:sz="6" w:space="0"/>
              <w:left w:val="outset" w:color="auto" w:sz="6" w:space="0"/>
              <w:bottom w:val="outset" w:color="auto" w:sz="6" w:space="0"/>
              <w:right w:val="outset" w:color="auto" w:sz="6" w:space="0"/>
            </w:tcBorders>
          </w:tcPr>
          <w:p w14:paraId="61A6C6E3">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w:t>
            </w:r>
          </w:p>
        </w:tc>
        <w:tc>
          <w:tcPr>
            <w:tcW w:w="833" w:type="dxa"/>
            <w:vMerge w:val="continue"/>
            <w:tcBorders>
              <w:left w:val="outset" w:color="auto" w:sz="6" w:space="0"/>
              <w:bottom w:val="outset" w:color="auto" w:sz="6" w:space="0"/>
              <w:right w:val="outset" w:color="auto" w:sz="6" w:space="0"/>
            </w:tcBorders>
          </w:tcPr>
          <w:p w14:paraId="5628D213">
            <w:pPr>
              <w:widowControl w:val="0"/>
              <w:autoSpaceDE w:val="0"/>
              <w:autoSpaceDN w:val="0"/>
              <w:spacing w:after="0" w:line="276" w:lineRule="auto"/>
              <w:jc w:val="both"/>
              <w:outlineLvl w:val="0"/>
              <w:rPr>
                <w:rFonts w:ascii="Times New Roman" w:hAnsi="Times New Roman" w:eastAsia="Times New Roman" w:cs="Times New Roman"/>
                <w:sz w:val="28"/>
                <w:szCs w:val="28"/>
                <w:vertAlign w:val="superscript"/>
              </w:rPr>
            </w:pPr>
          </w:p>
        </w:tc>
        <w:tc>
          <w:tcPr>
            <w:tcW w:w="969" w:type="dxa"/>
            <w:vMerge w:val="continue"/>
            <w:tcBorders>
              <w:left w:val="outset" w:color="auto" w:sz="6" w:space="0"/>
              <w:bottom w:val="outset" w:color="auto" w:sz="6" w:space="0"/>
              <w:right w:val="outset" w:color="auto" w:sz="6" w:space="0"/>
            </w:tcBorders>
          </w:tcPr>
          <w:p w14:paraId="770FF40C">
            <w:pPr>
              <w:widowControl w:val="0"/>
              <w:autoSpaceDE w:val="0"/>
              <w:autoSpaceDN w:val="0"/>
              <w:spacing w:after="0" w:line="276" w:lineRule="auto"/>
              <w:jc w:val="both"/>
              <w:outlineLvl w:val="0"/>
              <w:rPr>
                <w:rFonts w:ascii="Times New Roman" w:hAnsi="Times New Roman" w:eastAsia="Times New Roman" w:cs="Times New Roman"/>
                <w:sz w:val="28"/>
                <w:szCs w:val="28"/>
              </w:rPr>
            </w:pPr>
          </w:p>
        </w:tc>
      </w:tr>
      <w:tr w14:paraId="25AB972B">
        <w:tblPrEx>
          <w:tblCellMar>
            <w:top w:w="15" w:type="dxa"/>
            <w:left w:w="15" w:type="dxa"/>
            <w:bottom w:w="15" w:type="dxa"/>
            <w:right w:w="15" w:type="dxa"/>
          </w:tblCellMar>
        </w:tblPrEx>
        <w:tc>
          <w:tcPr>
            <w:tcW w:w="1812" w:type="dxa"/>
            <w:tcBorders>
              <w:top w:val="nil"/>
              <w:left w:val="outset" w:color="auto" w:sz="6" w:space="0"/>
              <w:bottom w:val="outset" w:color="auto" w:sz="6" w:space="0"/>
              <w:right w:val="outset" w:color="auto" w:sz="6" w:space="0"/>
            </w:tcBorders>
          </w:tcPr>
          <w:p w14:paraId="6ED448E2">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Босану ырғағының әлсіздігі</w:t>
            </w:r>
          </w:p>
        </w:tc>
        <w:tc>
          <w:tcPr>
            <w:tcW w:w="711" w:type="dxa"/>
            <w:tcBorders>
              <w:top w:val="nil"/>
              <w:left w:val="outset" w:color="auto" w:sz="6" w:space="0"/>
              <w:bottom w:val="outset" w:color="auto" w:sz="6" w:space="0"/>
              <w:right w:val="outset" w:color="auto" w:sz="6" w:space="0"/>
            </w:tcBorders>
          </w:tcPr>
          <w:p w14:paraId="60FD0388">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93,02</w:t>
            </w:r>
          </w:p>
          <w:p w14:paraId="657D54F1">
            <w:pPr>
              <w:widowControl w:val="0"/>
              <w:autoSpaceDE w:val="0"/>
              <w:autoSpaceDN w:val="0"/>
              <w:spacing w:after="0" w:line="276" w:lineRule="auto"/>
              <w:jc w:val="both"/>
              <w:outlineLvl w:val="0"/>
              <w:rPr>
                <w:rFonts w:ascii="Times New Roman" w:hAnsi="Times New Roman" w:eastAsia="Times New Roman" w:cs="Times New Roman"/>
                <w:sz w:val="28"/>
                <w:szCs w:val="28"/>
              </w:rPr>
            </w:pPr>
          </w:p>
        </w:tc>
        <w:tc>
          <w:tcPr>
            <w:tcW w:w="704" w:type="dxa"/>
            <w:tcBorders>
              <w:top w:val="nil"/>
              <w:left w:val="outset" w:color="auto" w:sz="6" w:space="0"/>
              <w:bottom w:val="outset" w:color="auto" w:sz="6" w:space="0"/>
              <w:right w:val="outset" w:color="auto" w:sz="6" w:space="0"/>
            </w:tcBorders>
          </w:tcPr>
          <w:p w14:paraId="143087E8">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6,98</w:t>
            </w:r>
          </w:p>
        </w:tc>
        <w:tc>
          <w:tcPr>
            <w:tcW w:w="703" w:type="dxa"/>
            <w:tcBorders>
              <w:top w:val="nil"/>
              <w:left w:val="outset" w:color="auto" w:sz="6" w:space="0"/>
              <w:bottom w:val="outset" w:color="auto" w:sz="6" w:space="0"/>
              <w:right w:val="outset" w:color="auto" w:sz="6" w:space="0"/>
            </w:tcBorders>
          </w:tcPr>
          <w:p w14:paraId="24DA8768">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87,50</w:t>
            </w:r>
          </w:p>
          <w:p w14:paraId="6E895621">
            <w:pPr>
              <w:widowControl w:val="0"/>
              <w:autoSpaceDE w:val="0"/>
              <w:autoSpaceDN w:val="0"/>
              <w:spacing w:after="0" w:line="276" w:lineRule="auto"/>
              <w:jc w:val="both"/>
              <w:outlineLvl w:val="0"/>
              <w:rPr>
                <w:rFonts w:ascii="Times New Roman" w:hAnsi="Times New Roman" w:eastAsia="Times New Roman" w:cs="Times New Roman"/>
                <w:sz w:val="28"/>
                <w:szCs w:val="28"/>
              </w:rPr>
            </w:pPr>
          </w:p>
        </w:tc>
        <w:tc>
          <w:tcPr>
            <w:tcW w:w="835" w:type="dxa"/>
            <w:tcBorders>
              <w:top w:val="nil"/>
              <w:left w:val="outset" w:color="auto" w:sz="6" w:space="0"/>
              <w:bottom w:val="outset" w:color="auto" w:sz="6" w:space="0"/>
              <w:right w:val="outset" w:color="auto" w:sz="6" w:space="0"/>
            </w:tcBorders>
          </w:tcPr>
          <w:p w14:paraId="25BA166B">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12,50</w:t>
            </w:r>
          </w:p>
        </w:tc>
        <w:tc>
          <w:tcPr>
            <w:tcW w:w="703" w:type="dxa"/>
            <w:tcBorders>
              <w:top w:val="nil"/>
              <w:left w:val="outset" w:color="auto" w:sz="6" w:space="0"/>
              <w:bottom w:val="outset" w:color="auto" w:sz="6" w:space="0"/>
              <w:right w:val="outset" w:color="auto" w:sz="6" w:space="0"/>
            </w:tcBorders>
          </w:tcPr>
          <w:p w14:paraId="6EFAC608">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86,84</w:t>
            </w:r>
          </w:p>
          <w:p w14:paraId="258C25D5">
            <w:pPr>
              <w:widowControl w:val="0"/>
              <w:autoSpaceDE w:val="0"/>
              <w:autoSpaceDN w:val="0"/>
              <w:spacing w:after="0" w:line="276" w:lineRule="auto"/>
              <w:jc w:val="both"/>
              <w:outlineLvl w:val="0"/>
              <w:rPr>
                <w:rFonts w:ascii="Times New Roman" w:hAnsi="Times New Roman" w:eastAsia="Times New Roman" w:cs="Times New Roman"/>
                <w:sz w:val="28"/>
                <w:szCs w:val="28"/>
              </w:rPr>
            </w:pPr>
          </w:p>
        </w:tc>
        <w:tc>
          <w:tcPr>
            <w:tcW w:w="706" w:type="dxa"/>
            <w:tcBorders>
              <w:top w:val="nil"/>
              <w:left w:val="outset" w:color="auto" w:sz="6" w:space="0"/>
              <w:bottom w:val="outset" w:color="auto" w:sz="6" w:space="0"/>
              <w:right w:val="outset" w:color="auto" w:sz="6" w:space="0"/>
            </w:tcBorders>
          </w:tcPr>
          <w:p w14:paraId="0C9418D9">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13,16</w:t>
            </w:r>
          </w:p>
        </w:tc>
        <w:tc>
          <w:tcPr>
            <w:tcW w:w="703" w:type="dxa"/>
            <w:tcBorders>
              <w:top w:val="nil"/>
              <w:left w:val="outset" w:color="auto" w:sz="6" w:space="0"/>
              <w:bottom w:val="outset" w:color="auto" w:sz="6" w:space="0"/>
              <w:right w:val="outset" w:color="auto" w:sz="6" w:space="0"/>
            </w:tcBorders>
          </w:tcPr>
          <w:p w14:paraId="288A06B7">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84,21</w:t>
            </w:r>
          </w:p>
          <w:p w14:paraId="523051B4">
            <w:pPr>
              <w:widowControl w:val="0"/>
              <w:autoSpaceDE w:val="0"/>
              <w:autoSpaceDN w:val="0"/>
              <w:spacing w:after="0" w:line="276" w:lineRule="auto"/>
              <w:jc w:val="both"/>
              <w:outlineLvl w:val="0"/>
              <w:rPr>
                <w:rFonts w:ascii="Times New Roman" w:hAnsi="Times New Roman" w:eastAsia="Times New Roman" w:cs="Times New Roman"/>
                <w:sz w:val="28"/>
                <w:szCs w:val="28"/>
              </w:rPr>
            </w:pPr>
          </w:p>
        </w:tc>
        <w:tc>
          <w:tcPr>
            <w:tcW w:w="706" w:type="dxa"/>
            <w:tcBorders>
              <w:top w:val="nil"/>
              <w:left w:val="outset" w:color="auto" w:sz="6" w:space="0"/>
              <w:bottom w:val="outset" w:color="auto" w:sz="6" w:space="0"/>
              <w:right w:val="outset" w:color="auto" w:sz="6" w:space="0"/>
            </w:tcBorders>
          </w:tcPr>
          <w:p w14:paraId="22BB3B36">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15,79</w:t>
            </w:r>
          </w:p>
        </w:tc>
        <w:tc>
          <w:tcPr>
            <w:tcW w:w="833" w:type="dxa"/>
            <w:tcBorders>
              <w:top w:val="nil"/>
              <w:left w:val="outset" w:color="auto" w:sz="6" w:space="0"/>
              <w:bottom w:val="outset" w:color="auto" w:sz="6" w:space="0"/>
              <w:right w:val="outset" w:color="auto" w:sz="6" w:space="0"/>
            </w:tcBorders>
          </w:tcPr>
          <w:p w14:paraId="03DB51C6">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1,813</w:t>
            </w:r>
          </w:p>
        </w:tc>
        <w:tc>
          <w:tcPr>
            <w:tcW w:w="969" w:type="dxa"/>
            <w:tcBorders>
              <w:top w:val="nil"/>
              <w:left w:val="outset" w:color="auto" w:sz="6" w:space="0"/>
              <w:bottom w:val="outset" w:color="auto" w:sz="6" w:space="0"/>
              <w:right w:val="outset" w:color="auto" w:sz="6" w:space="0"/>
            </w:tcBorders>
          </w:tcPr>
          <w:p w14:paraId="0FDCD387">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0,612</w:t>
            </w:r>
          </w:p>
        </w:tc>
      </w:tr>
      <w:tr w14:paraId="7D24D3CF">
        <w:tblPrEx>
          <w:tblCellMar>
            <w:top w:w="15" w:type="dxa"/>
            <w:left w:w="15" w:type="dxa"/>
            <w:bottom w:w="15" w:type="dxa"/>
            <w:right w:w="15" w:type="dxa"/>
          </w:tblCellMar>
        </w:tblPrEx>
        <w:tc>
          <w:tcPr>
            <w:tcW w:w="1812" w:type="dxa"/>
            <w:tcBorders>
              <w:top w:val="nil"/>
              <w:left w:val="outset" w:color="auto" w:sz="6" w:space="0"/>
              <w:bottom w:val="outset" w:color="auto" w:sz="6" w:space="0"/>
              <w:right w:val="outset" w:color="auto" w:sz="6" w:space="0"/>
            </w:tcBorders>
          </w:tcPr>
          <w:p w14:paraId="42D31E25">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Босану индукциясының әсерсіздігі</w:t>
            </w:r>
          </w:p>
        </w:tc>
        <w:tc>
          <w:tcPr>
            <w:tcW w:w="711" w:type="dxa"/>
            <w:tcBorders>
              <w:top w:val="nil"/>
              <w:left w:val="outset" w:color="auto" w:sz="6" w:space="0"/>
              <w:bottom w:val="outset" w:color="auto" w:sz="6" w:space="0"/>
              <w:right w:val="outset" w:color="auto" w:sz="6" w:space="0"/>
            </w:tcBorders>
          </w:tcPr>
          <w:p w14:paraId="38383CE5">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97,67</w:t>
            </w:r>
          </w:p>
          <w:p w14:paraId="6084F3A8">
            <w:pPr>
              <w:widowControl w:val="0"/>
              <w:autoSpaceDE w:val="0"/>
              <w:autoSpaceDN w:val="0"/>
              <w:spacing w:after="0" w:line="276" w:lineRule="auto"/>
              <w:jc w:val="both"/>
              <w:outlineLvl w:val="0"/>
              <w:rPr>
                <w:rFonts w:ascii="Times New Roman" w:hAnsi="Times New Roman" w:eastAsia="Times New Roman" w:cs="Times New Roman"/>
                <w:sz w:val="28"/>
                <w:szCs w:val="28"/>
              </w:rPr>
            </w:pPr>
          </w:p>
        </w:tc>
        <w:tc>
          <w:tcPr>
            <w:tcW w:w="704" w:type="dxa"/>
            <w:tcBorders>
              <w:top w:val="nil"/>
              <w:left w:val="outset" w:color="auto" w:sz="6" w:space="0"/>
              <w:bottom w:val="outset" w:color="auto" w:sz="6" w:space="0"/>
              <w:right w:val="outset" w:color="auto" w:sz="6" w:space="0"/>
            </w:tcBorders>
          </w:tcPr>
          <w:p w14:paraId="67846565">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2,33</w:t>
            </w:r>
          </w:p>
        </w:tc>
        <w:tc>
          <w:tcPr>
            <w:tcW w:w="703" w:type="dxa"/>
            <w:tcBorders>
              <w:top w:val="nil"/>
              <w:left w:val="outset" w:color="auto" w:sz="6" w:space="0"/>
              <w:bottom w:val="outset" w:color="auto" w:sz="6" w:space="0"/>
              <w:right w:val="outset" w:color="auto" w:sz="6" w:space="0"/>
            </w:tcBorders>
          </w:tcPr>
          <w:p w14:paraId="5D32CD13">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87,50</w:t>
            </w:r>
          </w:p>
          <w:p w14:paraId="00F235A3">
            <w:pPr>
              <w:widowControl w:val="0"/>
              <w:autoSpaceDE w:val="0"/>
              <w:autoSpaceDN w:val="0"/>
              <w:spacing w:after="0" w:line="276" w:lineRule="auto"/>
              <w:jc w:val="both"/>
              <w:outlineLvl w:val="0"/>
              <w:rPr>
                <w:rFonts w:ascii="Times New Roman" w:hAnsi="Times New Roman" w:eastAsia="Times New Roman" w:cs="Times New Roman"/>
                <w:sz w:val="28"/>
                <w:szCs w:val="28"/>
              </w:rPr>
            </w:pPr>
          </w:p>
        </w:tc>
        <w:tc>
          <w:tcPr>
            <w:tcW w:w="835" w:type="dxa"/>
            <w:tcBorders>
              <w:top w:val="nil"/>
              <w:left w:val="outset" w:color="auto" w:sz="6" w:space="0"/>
              <w:bottom w:val="outset" w:color="auto" w:sz="6" w:space="0"/>
              <w:right w:val="outset" w:color="auto" w:sz="6" w:space="0"/>
            </w:tcBorders>
          </w:tcPr>
          <w:p w14:paraId="6700589F">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12,50</w:t>
            </w:r>
          </w:p>
        </w:tc>
        <w:tc>
          <w:tcPr>
            <w:tcW w:w="703" w:type="dxa"/>
            <w:tcBorders>
              <w:top w:val="nil"/>
              <w:left w:val="outset" w:color="auto" w:sz="6" w:space="0"/>
              <w:bottom w:val="outset" w:color="auto" w:sz="6" w:space="0"/>
              <w:right w:val="outset" w:color="auto" w:sz="6" w:space="0"/>
            </w:tcBorders>
          </w:tcPr>
          <w:p w14:paraId="1354C4A0">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89,47</w:t>
            </w:r>
          </w:p>
          <w:p w14:paraId="3607EC8B">
            <w:pPr>
              <w:widowControl w:val="0"/>
              <w:autoSpaceDE w:val="0"/>
              <w:autoSpaceDN w:val="0"/>
              <w:spacing w:after="0" w:line="276" w:lineRule="auto"/>
              <w:jc w:val="both"/>
              <w:outlineLvl w:val="0"/>
              <w:rPr>
                <w:rFonts w:ascii="Times New Roman" w:hAnsi="Times New Roman" w:eastAsia="Times New Roman" w:cs="Times New Roman"/>
                <w:sz w:val="28"/>
                <w:szCs w:val="28"/>
              </w:rPr>
            </w:pPr>
          </w:p>
        </w:tc>
        <w:tc>
          <w:tcPr>
            <w:tcW w:w="706" w:type="dxa"/>
            <w:tcBorders>
              <w:top w:val="nil"/>
              <w:left w:val="outset" w:color="auto" w:sz="6" w:space="0"/>
              <w:bottom w:val="outset" w:color="auto" w:sz="6" w:space="0"/>
              <w:right w:val="outset" w:color="auto" w:sz="6" w:space="0"/>
            </w:tcBorders>
          </w:tcPr>
          <w:p w14:paraId="690A4FBC">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10,53</w:t>
            </w:r>
          </w:p>
        </w:tc>
        <w:tc>
          <w:tcPr>
            <w:tcW w:w="703" w:type="dxa"/>
            <w:tcBorders>
              <w:top w:val="nil"/>
              <w:left w:val="outset" w:color="auto" w:sz="6" w:space="0"/>
              <w:bottom w:val="outset" w:color="auto" w:sz="6" w:space="0"/>
              <w:right w:val="outset" w:color="auto" w:sz="6" w:space="0"/>
            </w:tcBorders>
          </w:tcPr>
          <w:p w14:paraId="4BA1C4D3">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77,78</w:t>
            </w:r>
          </w:p>
          <w:p w14:paraId="1808B137">
            <w:pPr>
              <w:widowControl w:val="0"/>
              <w:autoSpaceDE w:val="0"/>
              <w:autoSpaceDN w:val="0"/>
              <w:spacing w:after="0" w:line="276" w:lineRule="auto"/>
              <w:jc w:val="both"/>
              <w:outlineLvl w:val="0"/>
              <w:rPr>
                <w:rFonts w:ascii="Times New Roman" w:hAnsi="Times New Roman" w:eastAsia="Times New Roman" w:cs="Times New Roman"/>
                <w:sz w:val="28"/>
                <w:szCs w:val="28"/>
              </w:rPr>
            </w:pPr>
          </w:p>
        </w:tc>
        <w:tc>
          <w:tcPr>
            <w:tcW w:w="706" w:type="dxa"/>
            <w:tcBorders>
              <w:top w:val="nil"/>
              <w:left w:val="outset" w:color="auto" w:sz="6" w:space="0"/>
              <w:bottom w:val="outset" w:color="auto" w:sz="6" w:space="0"/>
              <w:right w:val="outset" w:color="auto" w:sz="6" w:space="0"/>
            </w:tcBorders>
          </w:tcPr>
          <w:p w14:paraId="2083474D">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22,22</w:t>
            </w:r>
          </w:p>
        </w:tc>
        <w:tc>
          <w:tcPr>
            <w:tcW w:w="833" w:type="dxa"/>
            <w:tcBorders>
              <w:top w:val="nil"/>
              <w:left w:val="outset" w:color="auto" w:sz="6" w:space="0"/>
              <w:bottom w:val="outset" w:color="auto" w:sz="6" w:space="0"/>
              <w:right w:val="outset" w:color="auto" w:sz="6" w:space="0"/>
            </w:tcBorders>
          </w:tcPr>
          <w:p w14:paraId="675310EA">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7,718</w:t>
            </w:r>
          </w:p>
        </w:tc>
        <w:tc>
          <w:tcPr>
            <w:tcW w:w="969" w:type="dxa"/>
            <w:tcBorders>
              <w:top w:val="nil"/>
              <w:left w:val="outset" w:color="auto" w:sz="6" w:space="0"/>
              <w:bottom w:val="outset" w:color="auto" w:sz="6" w:space="0"/>
              <w:right w:val="outset" w:color="auto" w:sz="6" w:space="0"/>
            </w:tcBorders>
          </w:tcPr>
          <w:p w14:paraId="78BCC6D5">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0,052</w:t>
            </w:r>
          </w:p>
        </w:tc>
      </w:tr>
      <w:tr w14:paraId="185EBFC4">
        <w:tblPrEx>
          <w:tblCellMar>
            <w:top w:w="15" w:type="dxa"/>
            <w:left w:w="15" w:type="dxa"/>
            <w:bottom w:w="15" w:type="dxa"/>
            <w:right w:w="15" w:type="dxa"/>
          </w:tblCellMar>
        </w:tblPrEx>
        <w:tc>
          <w:tcPr>
            <w:tcW w:w="1812" w:type="dxa"/>
            <w:tcBorders>
              <w:top w:val="nil"/>
              <w:left w:val="outset" w:color="auto" w:sz="6" w:space="0"/>
              <w:bottom w:val="outset" w:color="auto" w:sz="6" w:space="0"/>
              <w:right w:val="outset" w:color="auto" w:sz="6" w:space="0"/>
            </w:tcBorders>
          </w:tcPr>
          <w:p w14:paraId="08DEA4EA">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Кесір тілігі</w:t>
            </w:r>
            <w:r>
              <w:rPr>
                <w:rFonts w:ascii="Times New Roman" w:hAnsi="Times New Roman" w:eastAsia="Times New Roman" w:cs="Times New Roman"/>
                <w:sz w:val="28"/>
                <w:szCs w:val="28"/>
              </w:rPr>
              <w:tab/>
            </w:r>
          </w:p>
        </w:tc>
        <w:tc>
          <w:tcPr>
            <w:tcW w:w="711" w:type="dxa"/>
            <w:tcBorders>
              <w:top w:val="nil"/>
              <w:left w:val="outset" w:color="auto" w:sz="6" w:space="0"/>
              <w:bottom w:val="outset" w:color="auto" w:sz="6" w:space="0"/>
              <w:right w:val="outset" w:color="auto" w:sz="6" w:space="0"/>
            </w:tcBorders>
          </w:tcPr>
          <w:p w14:paraId="60694A18">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90,70</w:t>
            </w:r>
          </w:p>
          <w:p w14:paraId="424C778D">
            <w:pPr>
              <w:widowControl w:val="0"/>
              <w:autoSpaceDE w:val="0"/>
              <w:autoSpaceDN w:val="0"/>
              <w:spacing w:after="0" w:line="276" w:lineRule="auto"/>
              <w:jc w:val="both"/>
              <w:outlineLvl w:val="0"/>
              <w:rPr>
                <w:rFonts w:ascii="Times New Roman" w:hAnsi="Times New Roman" w:eastAsia="Times New Roman" w:cs="Times New Roman"/>
                <w:sz w:val="28"/>
                <w:szCs w:val="28"/>
              </w:rPr>
            </w:pPr>
          </w:p>
        </w:tc>
        <w:tc>
          <w:tcPr>
            <w:tcW w:w="704" w:type="dxa"/>
            <w:tcBorders>
              <w:top w:val="nil"/>
              <w:left w:val="outset" w:color="auto" w:sz="6" w:space="0"/>
              <w:bottom w:val="outset" w:color="auto" w:sz="6" w:space="0"/>
              <w:right w:val="outset" w:color="auto" w:sz="6" w:space="0"/>
            </w:tcBorders>
          </w:tcPr>
          <w:p w14:paraId="0A93273B">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9,30</w:t>
            </w:r>
          </w:p>
        </w:tc>
        <w:tc>
          <w:tcPr>
            <w:tcW w:w="703" w:type="dxa"/>
            <w:tcBorders>
              <w:top w:val="nil"/>
              <w:left w:val="outset" w:color="auto" w:sz="6" w:space="0"/>
              <w:bottom w:val="outset" w:color="auto" w:sz="6" w:space="0"/>
              <w:right w:val="outset" w:color="auto" w:sz="6" w:space="0"/>
            </w:tcBorders>
          </w:tcPr>
          <w:p w14:paraId="4A54AF17">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90,00</w:t>
            </w:r>
          </w:p>
          <w:p w14:paraId="2DCDE916">
            <w:pPr>
              <w:widowControl w:val="0"/>
              <w:autoSpaceDE w:val="0"/>
              <w:autoSpaceDN w:val="0"/>
              <w:spacing w:after="0" w:line="276" w:lineRule="auto"/>
              <w:jc w:val="both"/>
              <w:outlineLvl w:val="0"/>
              <w:rPr>
                <w:rFonts w:ascii="Times New Roman" w:hAnsi="Times New Roman" w:eastAsia="Times New Roman" w:cs="Times New Roman"/>
                <w:sz w:val="28"/>
                <w:szCs w:val="28"/>
              </w:rPr>
            </w:pPr>
          </w:p>
        </w:tc>
        <w:tc>
          <w:tcPr>
            <w:tcW w:w="835" w:type="dxa"/>
            <w:tcBorders>
              <w:top w:val="nil"/>
              <w:left w:val="outset" w:color="auto" w:sz="6" w:space="0"/>
              <w:bottom w:val="outset" w:color="auto" w:sz="6" w:space="0"/>
              <w:right w:val="outset" w:color="auto" w:sz="6" w:space="0"/>
            </w:tcBorders>
          </w:tcPr>
          <w:p w14:paraId="4F73C1C4">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10,00</w:t>
            </w:r>
          </w:p>
        </w:tc>
        <w:tc>
          <w:tcPr>
            <w:tcW w:w="703" w:type="dxa"/>
            <w:tcBorders>
              <w:top w:val="nil"/>
              <w:left w:val="outset" w:color="auto" w:sz="6" w:space="0"/>
              <w:bottom w:val="outset" w:color="auto" w:sz="6" w:space="0"/>
              <w:right w:val="outset" w:color="auto" w:sz="6" w:space="0"/>
            </w:tcBorders>
          </w:tcPr>
          <w:p w14:paraId="26DD4EB3">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78,95</w:t>
            </w:r>
          </w:p>
          <w:p w14:paraId="13210258">
            <w:pPr>
              <w:widowControl w:val="0"/>
              <w:autoSpaceDE w:val="0"/>
              <w:autoSpaceDN w:val="0"/>
              <w:spacing w:after="0" w:line="276" w:lineRule="auto"/>
              <w:jc w:val="both"/>
              <w:outlineLvl w:val="0"/>
              <w:rPr>
                <w:rFonts w:ascii="Times New Roman" w:hAnsi="Times New Roman" w:eastAsia="Times New Roman" w:cs="Times New Roman"/>
                <w:sz w:val="28"/>
                <w:szCs w:val="28"/>
              </w:rPr>
            </w:pPr>
          </w:p>
        </w:tc>
        <w:tc>
          <w:tcPr>
            <w:tcW w:w="706" w:type="dxa"/>
            <w:tcBorders>
              <w:top w:val="nil"/>
              <w:left w:val="outset" w:color="auto" w:sz="6" w:space="0"/>
              <w:bottom w:val="outset" w:color="auto" w:sz="6" w:space="0"/>
              <w:right w:val="outset" w:color="auto" w:sz="6" w:space="0"/>
            </w:tcBorders>
          </w:tcPr>
          <w:p w14:paraId="7463B139">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21,05</w:t>
            </w:r>
          </w:p>
        </w:tc>
        <w:tc>
          <w:tcPr>
            <w:tcW w:w="703" w:type="dxa"/>
            <w:tcBorders>
              <w:top w:val="nil"/>
              <w:left w:val="outset" w:color="auto" w:sz="6" w:space="0"/>
              <w:bottom w:val="outset" w:color="auto" w:sz="6" w:space="0"/>
              <w:right w:val="outset" w:color="auto" w:sz="6" w:space="0"/>
            </w:tcBorders>
          </w:tcPr>
          <w:p w14:paraId="2F92CDF2">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75,00</w:t>
            </w:r>
          </w:p>
          <w:p w14:paraId="2DF388AB">
            <w:pPr>
              <w:widowControl w:val="0"/>
              <w:autoSpaceDE w:val="0"/>
              <w:autoSpaceDN w:val="0"/>
              <w:spacing w:after="0" w:line="276" w:lineRule="auto"/>
              <w:jc w:val="both"/>
              <w:outlineLvl w:val="0"/>
              <w:rPr>
                <w:rFonts w:ascii="Times New Roman" w:hAnsi="Times New Roman" w:eastAsia="Times New Roman" w:cs="Times New Roman"/>
                <w:sz w:val="28"/>
                <w:szCs w:val="28"/>
              </w:rPr>
            </w:pPr>
          </w:p>
        </w:tc>
        <w:tc>
          <w:tcPr>
            <w:tcW w:w="706" w:type="dxa"/>
            <w:tcBorders>
              <w:top w:val="nil"/>
              <w:left w:val="outset" w:color="auto" w:sz="6" w:space="0"/>
              <w:bottom w:val="outset" w:color="auto" w:sz="6" w:space="0"/>
              <w:right w:val="outset" w:color="auto" w:sz="6" w:space="0"/>
            </w:tcBorders>
          </w:tcPr>
          <w:p w14:paraId="72CED418">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25,00</w:t>
            </w:r>
          </w:p>
        </w:tc>
        <w:tc>
          <w:tcPr>
            <w:tcW w:w="833" w:type="dxa"/>
            <w:tcBorders>
              <w:top w:val="nil"/>
              <w:left w:val="outset" w:color="auto" w:sz="6" w:space="0"/>
              <w:bottom w:val="outset" w:color="auto" w:sz="6" w:space="0"/>
              <w:right w:val="outset" w:color="auto" w:sz="6" w:space="0"/>
            </w:tcBorders>
          </w:tcPr>
          <w:p w14:paraId="03ABA3F8">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5,418</w:t>
            </w:r>
          </w:p>
        </w:tc>
        <w:tc>
          <w:tcPr>
            <w:tcW w:w="969" w:type="dxa"/>
            <w:tcBorders>
              <w:top w:val="nil"/>
              <w:left w:val="outset" w:color="auto" w:sz="6" w:space="0"/>
              <w:bottom w:val="outset" w:color="auto" w:sz="6" w:space="0"/>
              <w:right w:val="outset" w:color="auto" w:sz="6" w:space="0"/>
            </w:tcBorders>
          </w:tcPr>
          <w:p w14:paraId="6ABE0F52">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0,144</w:t>
            </w:r>
          </w:p>
        </w:tc>
      </w:tr>
      <w:tr w14:paraId="18DC2963">
        <w:tblPrEx>
          <w:tblCellMar>
            <w:top w:w="15" w:type="dxa"/>
            <w:left w:w="15" w:type="dxa"/>
            <w:bottom w:w="15" w:type="dxa"/>
            <w:right w:w="15" w:type="dxa"/>
          </w:tblCellMar>
        </w:tblPrEx>
        <w:tc>
          <w:tcPr>
            <w:tcW w:w="1812" w:type="dxa"/>
            <w:tcBorders>
              <w:top w:val="nil"/>
              <w:left w:val="outset" w:color="auto" w:sz="6" w:space="0"/>
              <w:bottom w:val="outset" w:color="auto" w:sz="6" w:space="0"/>
              <w:right w:val="outset" w:color="auto" w:sz="6" w:space="0"/>
            </w:tcBorders>
          </w:tcPr>
          <w:p w14:paraId="05EF892A">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Инструментальді босану</w:t>
            </w:r>
          </w:p>
        </w:tc>
        <w:tc>
          <w:tcPr>
            <w:tcW w:w="711" w:type="dxa"/>
            <w:tcBorders>
              <w:top w:val="nil"/>
              <w:left w:val="outset" w:color="auto" w:sz="6" w:space="0"/>
              <w:bottom w:val="outset" w:color="auto" w:sz="6" w:space="0"/>
              <w:right w:val="outset" w:color="auto" w:sz="6" w:space="0"/>
            </w:tcBorders>
          </w:tcPr>
          <w:p w14:paraId="516DC442">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95,35</w:t>
            </w:r>
          </w:p>
          <w:p w14:paraId="7B0EF40F">
            <w:pPr>
              <w:widowControl w:val="0"/>
              <w:autoSpaceDE w:val="0"/>
              <w:autoSpaceDN w:val="0"/>
              <w:spacing w:after="0" w:line="276" w:lineRule="auto"/>
              <w:jc w:val="both"/>
              <w:outlineLvl w:val="0"/>
              <w:rPr>
                <w:rFonts w:ascii="Times New Roman" w:hAnsi="Times New Roman" w:eastAsia="Times New Roman" w:cs="Times New Roman"/>
                <w:sz w:val="28"/>
                <w:szCs w:val="28"/>
              </w:rPr>
            </w:pPr>
          </w:p>
        </w:tc>
        <w:tc>
          <w:tcPr>
            <w:tcW w:w="704" w:type="dxa"/>
            <w:tcBorders>
              <w:top w:val="nil"/>
              <w:left w:val="outset" w:color="auto" w:sz="6" w:space="0"/>
              <w:bottom w:val="outset" w:color="auto" w:sz="6" w:space="0"/>
              <w:right w:val="outset" w:color="auto" w:sz="6" w:space="0"/>
            </w:tcBorders>
          </w:tcPr>
          <w:p w14:paraId="07B5ECB9">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4,65</w:t>
            </w:r>
          </w:p>
        </w:tc>
        <w:tc>
          <w:tcPr>
            <w:tcW w:w="703" w:type="dxa"/>
            <w:tcBorders>
              <w:top w:val="nil"/>
              <w:left w:val="outset" w:color="auto" w:sz="6" w:space="0"/>
              <w:bottom w:val="outset" w:color="auto" w:sz="6" w:space="0"/>
              <w:right w:val="outset" w:color="auto" w:sz="6" w:space="0"/>
            </w:tcBorders>
          </w:tcPr>
          <w:p w14:paraId="69471FB0">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77,50</w:t>
            </w:r>
          </w:p>
          <w:p w14:paraId="6897A2C3">
            <w:pPr>
              <w:widowControl w:val="0"/>
              <w:autoSpaceDE w:val="0"/>
              <w:autoSpaceDN w:val="0"/>
              <w:spacing w:after="0" w:line="276" w:lineRule="auto"/>
              <w:jc w:val="both"/>
              <w:outlineLvl w:val="0"/>
              <w:rPr>
                <w:rFonts w:ascii="Times New Roman" w:hAnsi="Times New Roman" w:eastAsia="Times New Roman" w:cs="Times New Roman"/>
                <w:sz w:val="28"/>
                <w:szCs w:val="28"/>
              </w:rPr>
            </w:pPr>
          </w:p>
        </w:tc>
        <w:tc>
          <w:tcPr>
            <w:tcW w:w="835" w:type="dxa"/>
            <w:tcBorders>
              <w:top w:val="nil"/>
              <w:left w:val="outset" w:color="auto" w:sz="6" w:space="0"/>
              <w:bottom w:val="outset" w:color="auto" w:sz="6" w:space="0"/>
              <w:right w:val="outset" w:color="auto" w:sz="6" w:space="0"/>
            </w:tcBorders>
          </w:tcPr>
          <w:p w14:paraId="1C4C0E66">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22,50</w:t>
            </w:r>
          </w:p>
        </w:tc>
        <w:tc>
          <w:tcPr>
            <w:tcW w:w="703" w:type="dxa"/>
            <w:tcBorders>
              <w:top w:val="nil"/>
              <w:left w:val="outset" w:color="auto" w:sz="6" w:space="0"/>
              <w:bottom w:val="outset" w:color="auto" w:sz="6" w:space="0"/>
              <w:right w:val="outset" w:color="auto" w:sz="6" w:space="0"/>
            </w:tcBorders>
          </w:tcPr>
          <w:p w14:paraId="2CD126B0">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92,11</w:t>
            </w:r>
          </w:p>
          <w:p w14:paraId="6EC5FA49">
            <w:pPr>
              <w:widowControl w:val="0"/>
              <w:autoSpaceDE w:val="0"/>
              <w:autoSpaceDN w:val="0"/>
              <w:spacing w:after="0" w:line="276" w:lineRule="auto"/>
              <w:jc w:val="both"/>
              <w:outlineLvl w:val="0"/>
              <w:rPr>
                <w:rFonts w:ascii="Times New Roman" w:hAnsi="Times New Roman" w:eastAsia="Times New Roman" w:cs="Times New Roman"/>
                <w:sz w:val="28"/>
                <w:szCs w:val="28"/>
              </w:rPr>
            </w:pPr>
          </w:p>
        </w:tc>
        <w:tc>
          <w:tcPr>
            <w:tcW w:w="706" w:type="dxa"/>
            <w:tcBorders>
              <w:top w:val="nil"/>
              <w:left w:val="outset" w:color="auto" w:sz="6" w:space="0"/>
              <w:bottom w:val="outset" w:color="auto" w:sz="6" w:space="0"/>
              <w:right w:val="outset" w:color="auto" w:sz="6" w:space="0"/>
            </w:tcBorders>
          </w:tcPr>
          <w:p w14:paraId="3C1FC63E">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7,89</w:t>
            </w:r>
          </w:p>
        </w:tc>
        <w:tc>
          <w:tcPr>
            <w:tcW w:w="703" w:type="dxa"/>
            <w:tcBorders>
              <w:top w:val="nil"/>
              <w:left w:val="outset" w:color="auto" w:sz="6" w:space="0"/>
              <w:bottom w:val="outset" w:color="auto" w:sz="6" w:space="0"/>
              <w:right w:val="outset" w:color="auto" w:sz="6" w:space="0"/>
            </w:tcBorders>
          </w:tcPr>
          <w:p w14:paraId="2A051EF4">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88,89</w:t>
            </w:r>
          </w:p>
          <w:p w14:paraId="218135BC">
            <w:pPr>
              <w:widowControl w:val="0"/>
              <w:autoSpaceDE w:val="0"/>
              <w:autoSpaceDN w:val="0"/>
              <w:spacing w:after="0" w:line="276" w:lineRule="auto"/>
              <w:jc w:val="both"/>
              <w:outlineLvl w:val="0"/>
              <w:rPr>
                <w:rFonts w:ascii="Times New Roman" w:hAnsi="Times New Roman" w:eastAsia="Times New Roman" w:cs="Times New Roman"/>
                <w:sz w:val="28"/>
                <w:szCs w:val="28"/>
              </w:rPr>
            </w:pPr>
          </w:p>
        </w:tc>
        <w:tc>
          <w:tcPr>
            <w:tcW w:w="706" w:type="dxa"/>
            <w:tcBorders>
              <w:top w:val="nil"/>
              <w:left w:val="outset" w:color="auto" w:sz="6" w:space="0"/>
              <w:bottom w:val="outset" w:color="auto" w:sz="6" w:space="0"/>
              <w:right w:val="outset" w:color="auto" w:sz="6" w:space="0"/>
            </w:tcBorders>
          </w:tcPr>
          <w:p w14:paraId="74F71E86">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11,11</w:t>
            </w:r>
          </w:p>
        </w:tc>
        <w:tc>
          <w:tcPr>
            <w:tcW w:w="833" w:type="dxa"/>
            <w:tcBorders>
              <w:top w:val="nil"/>
              <w:left w:val="outset" w:color="auto" w:sz="6" w:space="0"/>
              <w:bottom w:val="outset" w:color="auto" w:sz="6" w:space="0"/>
              <w:right w:val="outset" w:color="auto" w:sz="6" w:space="0"/>
            </w:tcBorders>
            <w:vAlign w:val="center"/>
          </w:tcPr>
          <w:p w14:paraId="475AE17B">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7,247</w:t>
            </w:r>
          </w:p>
        </w:tc>
        <w:tc>
          <w:tcPr>
            <w:tcW w:w="969" w:type="dxa"/>
            <w:tcBorders>
              <w:top w:val="nil"/>
              <w:left w:val="outset" w:color="auto" w:sz="6" w:space="0"/>
              <w:bottom w:val="outset" w:color="auto" w:sz="6" w:space="0"/>
              <w:right w:val="outset" w:color="auto" w:sz="6" w:space="0"/>
            </w:tcBorders>
            <w:vAlign w:val="center"/>
          </w:tcPr>
          <w:p w14:paraId="04890D9E">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0,064</w:t>
            </w:r>
          </w:p>
        </w:tc>
      </w:tr>
      <w:tr w14:paraId="5B346596">
        <w:tblPrEx>
          <w:tblCellMar>
            <w:top w:w="15" w:type="dxa"/>
            <w:left w:w="15" w:type="dxa"/>
            <w:bottom w:w="15" w:type="dxa"/>
            <w:right w:w="15" w:type="dxa"/>
          </w:tblCellMar>
        </w:tblPrEx>
        <w:tc>
          <w:tcPr>
            <w:tcW w:w="1812" w:type="dxa"/>
            <w:tcBorders>
              <w:top w:val="nil"/>
              <w:left w:val="outset" w:color="auto" w:sz="6" w:space="0"/>
              <w:bottom w:val="outset" w:color="auto" w:sz="6" w:space="0"/>
              <w:right w:val="outset" w:color="auto" w:sz="6" w:space="0"/>
            </w:tcBorders>
          </w:tcPr>
          <w:p w14:paraId="512C7D47">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Гестациялық диабет</w:t>
            </w:r>
          </w:p>
        </w:tc>
        <w:tc>
          <w:tcPr>
            <w:tcW w:w="711" w:type="dxa"/>
            <w:tcBorders>
              <w:top w:val="nil"/>
              <w:left w:val="outset" w:color="auto" w:sz="6" w:space="0"/>
              <w:bottom w:val="outset" w:color="auto" w:sz="6" w:space="0"/>
              <w:right w:val="outset" w:color="auto" w:sz="6" w:space="0"/>
            </w:tcBorders>
          </w:tcPr>
          <w:p w14:paraId="32CEDD1E">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93,02</w:t>
            </w:r>
          </w:p>
          <w:p w14:paraId="450596F3">
            <w:pPr>
              <w:widowControl w:val="0"/>
              <w:autoSpaceDE w:val="0"/>
              <w:autoSpaceDN w:val="0"/>
              <w:spacing w:after="0" w:line="276" w:lineRule="auto"/>
              <w:jc w:val="both"/>
              <w:outlineLvl w:val="0"/>
              <w:rPr>
                <w:rFonts w:ascii="Times New Roman" w:hAnsi="Times New Roman" w:eastAsia="Times New Roman" w:cs="Times New Roman"/>
                <w:sz w:val="28"/>
                <w:szCs w:val="28"/>
              </w:rPr>
            </w:pPr>
          </w:p>
        </w:tc>
        <w:tc>
          <w:tcPr>
            <w:tcW w:w="704" w:type="dxa"/>
            <w:tcBorders>
              <w:top w:val="nil"/>
              <w:left w:val="outset" w:color="auto" w:sz="6" w:space="0"/>
              <w:bottom w:val="outset" w:color="auto" w:sz="6" w:space="0"/>
              <w:right w:val="outset" w:color="auto" w:sz="6" w:space="0"/>
            </w:tcBorders>
          </w:tcPr>
          <w:p w14:paraId="027CB3F6">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6,98</w:t>
            </w:r>
          </w:p>
        </w:tc>
        <w:tc>
          <w:tcPr>
            <w:tcW w:w="703" w:type="dxa"/>
            <w:tcBorders>
              <w:top w:val="nil"/>
              <w:left w:val="outset" w:color="auto" w:sz="6" w:space="0"/>
              <w:bottom w:val="outset" w:color="auto" w:sz="6" w:space="0"/>
              <w:right w:val="outset" w:color="auto" w:sz="6" w:space="0"/>
            </w:tcBorders>
          </w:tcPr>
          <w:p w14:paraId="05108304">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92,50</w:t>
            </w:r>
          </w:p>
          <w:p w14:paraId="657EEF18">
            <w:pPr>
              <w:widowControl w:val="0"/>
              <w:autoSpaceDE w:val="0"/>
              <w:autoSpaceDN w:val="0"/>
              <w:spacing w:after="0" w:line="276" w:lineRule="auto"/>
              <w:jc w:val="both"/>
              <w:outlineLvl w:val="0"/>
              <w:rPr>
                <w:rFonts w:ascii="Times New Roman" w:hAnsi="Times New Roman" w:eastAsia="Times New Roman" w:cs="Times New Roman"/>
                <w:sz w:val="28"/>
                <w:szCs w:val="28"/>
              </w:rPr>
            </w:pPr>
          </w:p>
        </w:tc>
        <w:tc>
          <w:tcPr>
            <w:tcW w:w="835" w:type="dxa"/>
            <w:tcBorders>
              <w:top w:val="nil"/>
              <w:left w:val="outset" w:color="auto" w:sz="6" w:space="0"/>
              <w:bottom w:val="outset" w:color="auto" w:sz="6" w:space="0"/>
              <w:right w:val="outset" w:color="auto" w:sz="6" w:space="0"/>
            </w:tcBorders>
          </w:tcPr>
          <w:p w14:paraId="51A756DB">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7,50</w:t>
            </w:r>
          </w:p>
        </w:tc>
        <w:tc>
          <w:tcPr>
            <w:tcW w:w="703" w:type="dxa"/>
            <w:tcBorders>
              <w:top w:val="nil"/>
              <w:left w:val="outset" w:color="auto" w:sz="6" w:space="0"/>
              <w:bottom w:val="outset" w:color="auto" w:sz="6" w:space="0"/>
              <w:right w:val="outset" w:color="auto" w:sz="6" w:space="0"/>
            </w:tcBorders>
          </w:tcPr>
          <w:p w14:paraId="1BBBF6BD">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73,68</w:t>
            </w:r>
          </w:p>
          <w:p w14:paraId="14F568B6">
            <w:pPr>
              <w:widowControl w:val="0"/>
              <w:autoSpaceDE w:val="0"/>
              <w:autoSpaceDN w:val="0"/>
              <w:spacing w:after="0" w:line="276" w:lineRule="auto"/>
              <w:jc w:val="both"/>
              <w:outlineLvl w:val="0"/>
              <w:rPr>
                <w:rFonts w:ascii="Times New Roman" w:hAnsi="Times New Roman" w:eastAsia="Times New Roman" w:cs="Times New Roman"/>
                <w:sz w:val="28"/>
                <w:szCs w:val="28"/>
              </w:rPr>
            </w:pPr>
          </w:p>
        </w:tc>
        <w:tc>
          <w:tcPr>
            <w:tcW w:w="706" w:type="dxa"/>
            <w:tcBorders>
              <w:top w:val="nil"/>
              <w:left w:val="outset" w:color="auto" w:sz="6" w:space="0"/>
              <w:bottom w:val="outset" w:color="auto" w:sz="6" w:space="0"/>
              <w:right w:val="outset" w:color="auto" w:sz="6" w:space="0"/>
            </w:tcBorders>
          </w:tcPr>
          <w:p w14:paraId="25BEBC80">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26,32</w:t>
            </w:r>
          </w:p>
        </w:tc>
        <w:tc>
          <w:tcPr>
            <w:tcW w:w="703" w:type="dxa"/>
            <w:tcBorders>
              <w:top w:val="nil"/>
              <w:left w:val="outset" w:color="auto" w:sz="6" w:space="0"/>
              <w:bottom w:val="outset" w:color="auto" w:sz="6" w:space="0"/>
              <w:right w:val="outset" w:color="auto" w:sz="6" w:space="0"/>
            </w:tcBorders>
          </w:tcPr>
          <w:p w14:paraId="21523EB0">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66,67</w:t>
            </w:r>
          </w:p>
          <w:p w14:paraId="6B3BA4A6">
            <w:pPr>
              <w:widowControl w:val="0"/>
              <w:autoSpaceDE w:val="0"/>
              <w:autoSpaceDN w:val="0"/>
              <w:spacing w:after="0" w:line="276" w:lineRule="auto"/>
              <w:jc w:val="both"/>
              <w:outlineLvl w:val="0"/>
              <w:rPr>
                <w:rFonts w:ascii="Times New Roman" w:hAnsi="Times New Roman" w:eastAsia="Times New Roman" w:cs="Times New Roman"/>
                <w:sz w:val="28"/>
                <w:szCs w:val="28"/>
              </w:rPr>
            </w:pPr>
          </w:p>
        </w:tc>
        <w:tc>
          <w:tcPr>
            <w:tcW w:w="706" w:type="dxa"/>
            <w:tcBorders>
              <w:top w:val="nil"/>
              <w:left w:val="outset" w:color="auto" w:sz="6" w:space="0"/>
              <w:bottom w:val="outset" w:color="auto" w:sz="6" w:space="0"/>
              <w:right w:val="outset" w:color="auto" w:sz="6" w:space="0"/>
            </w:tcBorders>
          </w:tcPr>
          <w:p w14:paraId="6A2875C7">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33,33</w:t>
            </w:r>
          </w:p>
        </w:tc>
        <w:tc>
          <w:tcPr>
            <w:tcW w:w="833" w:type="dxa"/>
            <w:tcBorders>
              <w:top w:val="nil"/>
              <w:left w:val="outset" w:color="auto" w:sz="6" w:space="0"/>
              <w:bottom w:val="outset" w:color="auto" w:sz="6" w:space="0"/>
              <w:right w:val="outset" w:color="auto" w:sz="6" w:space="0"/>
            </w:tcBorders>
          </w:tcPr>
          <w:p w14:paraId="2D3B4EB4">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14,141</w:t>
            </w:r>
          </w:p>
        </w:tc>
        <w:tc>
          <w:tcPr>
            <w:tcW w:w="969" w:type="dxa"/>
            <w:tcBorders>
              <w:top w:val="nil"/>
              <w:left w:val="outset" w:color="auto" w:sz="6" w:space="0"/>
              <w:bottom w:val="outset" w:color="auto" w:sz="6" w:space="0"/>
              <w:right w:val="outset" w:color="auto" w:sz="6" w:space="0"/>
            </w:tcBorders>
          </w:tcPr>
          <w:p w14:paraId="57470916">
            <w:pPr>
              <w:widowControl w:val="0"/>
              <w:autoSpaceDE w:val="0"/>
              <w:autoSpaceDN w:val="0"/>
              <w:spacing w:after="0" w:line="276" w:lineRule="auto"/>
              <w:jc w:val="both"/>
              <w:outlineLvl w:val="0"/>
              <w:rPr>
                <w:rFonts w:ascii="Times New Roman" w:hAnsi="Times New Roman" w:eastAsia="Times New Roman" w:cs="Times New Roman"/>
                <w:b/>
                <w:sz w:val="28"/>
                <w:szCs w:val="28"/>
              </w:rPr>
            </w:pPr>
            <w:r>
              <w:rPr>
                <w:rFonts w:ascii="Times New Roman" w:hAnsi="Times New Roman" w:eastAsia="Times New Roman" w:cs="Times New Roman"/>
                <w:b/>
                <w:sz w:val="28"/>
                <w:szCs w:val="28"/>
              </w:rPr>
              <w:t>0,0027</w:t>
            </w:r>
            <w:r>
              <w:rPr>
                <w:rFonts w:ascii="Times New Roman" w:hAnsi="Times New Roman" w:eastAsia="Times New Roman" w:cs="Times New Roman"/>
                <w:b/>
                <w:bCs/>
                <w:sz w:val="28"/>
                <w:szCs w:val="28"/>
              </w:rPr>
              <w:t>*</w:t>
            </w:r>
          </w:p>
        </w:tc>
      </w:tr>
      <w:tr w14:paraId="43EE8AA1">
        <w:tblPrEx>
          <w:tblCellMar>
            <w:top w:w="15" w:type="dxa"/>
            <w:left w:w="15" w:type="dxa"/>
            <w:bottom w:w="15" w:type="dxa"/>
            <w:right w:w="15" w:type="dxa"/>
          </w:tblCellMar>
        </w:tblPrEx>
        <w:tc>
          <w:tcPr>
            <w:tcW w:w="1812" w:type="dxa"/>
            <w:tcBorders>
              <w:top w:val="nil"/>
              <w:left w:val="outset" w:color="auto" w:sz="6" w:space="0"/>
              <w:bottom w:val="outset" w:color="auto" w:sz="6" w:space="0"/>
              <w:right w:val="outset" w:color="auto" w:sz="6" w:space="0"/>
            </w:tcBorders>
          </w:tcPr>
          <w:p w14:paraId="042A081C">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Гестациялық гипертензия</w:t>
            </w:r>
          </w:p>
        </w:tc>
        <w:tc>
          <w:tcPr>
            <w:tcW w:w="711" w:type="dxa"/>
            <w:tcBorders>
              <w:top w:val="nil"/>
              <w:left w:val="outset" w:color="auto" w:sz="6" w:space="0"/>
              <w:bottom w:val="outset" w:color="auto" w:sz="6" w:space="0"/>
              <w:right w:val="outset" w:color="auto" w:sz="6" w:space="0"/>
            </w:tcBorders>
          </w:tcPr>
          <w:p w14:paraId="5B85BAC4">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97,67</w:t>
            </w:r>
          </w:p>
          <w:p w14:paraId="345ACB91">
            <w:pPr>
              <w:widowControl w:val="0"/>
              <w:autoSpaceDE w:val="0"/>
              <w:autoSpaceDN w:val="0"/>
              <w:spacing w:after="0" w:line="276" w:lineRule="auto"/>
              <w:jc w:val="both"/>
              <w:outlineLvl w:val="0"/>
              <w:rPr>
                <w:rFonts w:ascii="Times New Roman" w:hAnsi="Times New Roman" w:eastAsia="Times New Roman" w:cs="Times New Roman"/>
                <w:sz w:val="28"/>
                <w:szCs w:val="28"/>
              </w:rPr>
            </w:pPr>
          </w:p>
        </w:tc>
        <w:tc>
          <w:tcPr>
            <w:tcW w:w="704" w:type="dxa"/>
            <w:tcBorders>
              <w:top w:val="nil"/>
              <w:left w:val="outset" w:color="auto" w:sz="6" w:space="0"/>
              <w:bottom w:val="outset" w:color="auto" w:sz="6" w:space="0"/>
              <w:right w:val="outset" w:color="auto" w:sz="6" w:space="0"/>
            </w:tcBorders>
          </w:tcPr>
          <w:p w14:paraId="1A4055C4">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2,33</w:t>
            </w:r>
          </w:p>
        </w:tc>
        <w:tc>
          <w:tcPr>
            <w:tcW w:w="703" w:type="dxa"/>
            <w:tcBorders>
              <w:top w:val="nil"/>
              <w:left w:val="outset" w:color="auto" w:sz="6" w:space="0"/>
              <w:bottom w:val="outset" w:color="auto" w:sz="6" w:space="0"/>
              <w:right w:val="outset" w:color="auto" w:sz="6" w:space="0"/>
            </w:tcBorders>
          </w:tcPr>
          <w:p w14:paraId="3126FCBF">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92,50</w:t>
            </w:r>
          </w:p>
          <w:p w14:paraId="3FBAFC3C">
            <w:pPr>
              <w:widowControl w:val="0"/>
              <w:autoSpaceDE w:val="0"/>
              <w:autoSpaceDN w:val="0"/>
              <w:spacing w:after="0" w:line="276" w:lineRule="auto"/>
              <w:jc w:val="both"/>
              <w:outlineLvl w:val="0"/>
              <w:rPr>
                <w:rFonts w:ascii="Times New Roman" w:hAnsi="Times New Roman" w:eastAsia="Times New Roman" w:cs="Times New Roman"/>
                <w:sz w:val="28"/>
                <w:szCs w:val="28"/>
              </w:rPr>
            </w:pPr>
          </w:p>
        </w:tc>
        <w:tc>
          <w:tcPr>
            <w:tcW w:w="835" w:type="dxa"/>
            <w:tcBorders>
              <w:top w:val="nil"/>
              <w:left w:val="outset" w:color="auto" w:sz="6" w:space="0"/>
              <w:bottom w:val="outset" w:color="auto" w:sz="6" w:space="0"/>
              <w:right w:val="outset" w:color="auto" w:sz="6" w:space="0"/>
            </w:tcBorders>
          </w:tcPr>
          <w:p w14:paraId="036B6344">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7,50</w:t>
            </w:r>
          </w:p>
        </w:tc>
        <w:tc>
          <w:tcPr>
            <w:tcW w:w="703" w:type="dxa"/>
            <w:tcBorders>
              <w:top w:val="nil"/>
              <w:left w:val="outset" w:color="auto" w:sz="6" w:space="0"/>
              <w:bottom w:val="outset" w:color="auto" w:sz="6" w:space="0"/>
              <w:right w:val="outset" w:color="auto" w:sz="6" w:space="0"/>
            </w:tcBorders>
          </w:tcPr>
          <w:p w14:paraId="49CBD688">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81,58</w:t>
            </w:r>
          </w:p>
          <w:p w14:paraId="2BF20D67">
            <w:pPr>
              <w:widowControl w:val="0"/>
              <w:autoSpaceDE w:val="0"/>
              <w:autoSpaceDN w:val="0"/>
              <w:spacing w:after="0" w:line="276" w:lineRule="auto"/>
              <w:jc w:val="both"/>
              <w:outlineLvl w:val="0"/>
              <w:rPr>
                <w:rFonts w:ascii="Times New Roman" w:hAnsi="Times New Roman" w:eastAsia="Times New Roman" w:cs="Times New Roman"/>
                <w:sz w:val="28"/>
                <w:szCs w:val="28"/>
              </w:rPr>
            </w:pPr>
          </w:p>
        </w:tc>
        <w:tc>
          <w:tcPr>
            <w:tcW w:w="706" w:type="dxa"/>
            <w:tcBorders>
              <w:top w:val="nil"/>
              <w:left w:val="outset" w:color="auto" w:sz="6" w:space="0"/>
              <w:bottom w:val="outset" w:color="auto" w:sz="6" w:space="0"/>
              <w:right w:val="outset" w:color="auto" w:sz="6" w:space="0"/>
            </w:tcBorders>
          </w:tcPr>
          <w:p w14:paraId="7FF8F4C4">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18,42</w:t>
            </w:r>
          </w:p>
        </w:tc>
        <w:tc>
          <w:tcPr>
            <w:tcW w:w="703" w:type="dxa"/>
            <w:tcBorders>
              <w:top w:val="nil"/>
              <w:left w:val="outset" w:color="auto" w:sz="6" w:space="0"/>
              <w:bottom w:val="outset" w:color="auto" w:sz="6" w:space="0"/>
              <w:right w:val="outset" w:color="auto" w:sz="6" w:space="0"/>
            </w:tcBorders>
          </w:tcPr>
          <w:p w14:paraId="0CD306EE">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75,00</w:t>
            </w:r>
          </w:p>
          <w:p w14:paraId="16BD9887">
            <w:pPr>
              <w:widowControl w:val="0"/>
              <w:autoSpaceDE w:val="0"/>
              <w:autoSpaceDN w:val="0"/>
              <w:spacing w:after="0" w:line="276" w:lineRule="auto"/>
              <w:jc w:val="both"/>
              <w:outlineLvl w:val="0"/>
              <w:rPr>
                <w:rFonts w:ascii="Times New Roman" w:hAnsi="Times New Roman" w:eastAsia="Times New Roman" w:cs="Times New Roman"/>
                <w:sz w:val="28"/>
                <w:szCs w:val="28"/>
              </w:rPr>
            </w:pPr>
          </w:p>
        </w:tc>
        <w:tc>
          <w:tcPr>
            <w:tcW w:w="706" w:type="dxa"/>
            <w:tcBorders>
              <w:top w:val="nil"/>
              <w:left w:val="outset" w:color="auto" w:sz="6" w:space="0"/>
              <w:bottom w:val="outset" w:color="auto" w:sz="6" w:space="0"/>
              <w:right w:val="outset" w:color="auto" w:sz="6" w:space="0"/>
            </w:tcBorders>
          </w:tcPr>
          <w:p w14:paraId="02913223">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25,00</w:t>
            </w:r>
          </w:p>
        </w:tc>
        <w:tc>
          <w:tcPr>
            <w:tcW w:w="833" w:type="dxa"/>
            <w:tcBorders>
              <w:top w:val="nil"/>
              <w:left w:val="outset" w:color="auto" w:sz="6" w:space="0"/>
              <w:bottom w:val="outset" w:color="auto" w:sz="6" w:space="0"/>
              <w:right w:val="outset" w:color="auto" w:sz="6" w:space="0"/>
            </w:tcBorders>
            <w:vAlign w:val="center"/>
          </w:tcPr>
          <w:p w14:paraId="173D19F2">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9,958</w:t>
            </w:r>
          </w:p>
        </w:tc>
        <w:tc>
          <w:tcPr>
            <w:tcW w:w="969" w:type="dxa"/>
            <w:tcBorders>
              <w:top w:val="nil"/>
              <w:left w:val="outset" w:color="auto" w:sz="6" w:space="0"/>
              <w:bottom w:val="outset" w:color="auto" w:sz="6" w:space="0"/>
              <w:right w:val="outset" w:color="auto" w:sz="6" w:space="0"/>
            </w:tcBorders>
            <w:vAlign w:val="center"/>
          </w:tcPr>
          <w:p w14:paraId="1E19195B">
            <w:pPr>
              <w:widowControl w:val="0"/>
              <w:autoSpaceDE w:val="0"/>
              <w:autoSpaceDN w:val="0"/>
              <w:spacing w:after="0" w:line="276" w:lineRule="auto"/>
              <w:jc w:val="both"/>
              <w:outlineLvl w:val="0"/>
              <w:rPr>
                <w:rFonts w:ascii="Times New Roman" w:hAnsi="Times New Roman" w:eastAsia="Times New Roman" w:cs="Times New Roman"/>
                <w:b/>
                <w:sz w:val="28"/>
                <w:szCs w:val="28"/>
              </w:rPr>
            </w:pPr>
            <w:r>
              <w:rPr>
                <w:rFonts w:ascii="Times New Roman" w:hAnsi="Times New Roman" w:eastAsia="Times New Roman" w:cs="Times New Roman"/>
                <w:b/>
                <w:sz w:val="28"/>
                <w:szCs w:val="28"/>
              </w:rPr>
              <w:t>0,0189</w:t>
            </w:r>
            <w:r>
              <w:rPr>
                <w:rFonts w:ascii="Times New Roman" w:hAnsi="Times New Roman" w:eastAsia="Times New Roman" w:cs="Times New Roman"/>
                <w:b/>
                <w:bCs/>
                <w:sz w:val="28"/>
                <w:szCs w:val="28"/>
              </w:rPr>
              <w:t>*</w:t>
            </w:r>
          </w:p>
        </w:tc>
      </w:tr>
      <w:tr w14:paraId="6AE9E326">
        <w:tblPrEx>
          <w:tblCellMar>
            <w:top w:w="15" w:type="dxa"/>
            <w:left w:w="15" w:type="dxa"/>
            <w:bottom w:w="15" w:type="dxa"/>
            <w:right w:w="15" w:type="dxa"/>
          </w:tblCellMar>
        </w:tblPrEx>
        <w:tc>
          <w:tcPr>
            <w:tcW w:w="1812" w:type="dxa"/>
            <w:tcBorders>
              <w:top w:val="nil"/>
              <w:left w:val="outset" w:color="auto" w:sz="6" w:space="0"/>
              <w:bottom w:val="outset" w:color="auto" w:sz="6" w:space="0"/>
              <w:right w:val="outset" w:color="auto" w:sz="6" w:space="0"/>
            </w:tcBorders>
          </w:tcPr>
          <w:p w14:paraId="314922C6">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Преэклампсия</w:t>
            </w:r>
            <w:r>
              <w:rPr>
                <w:rFonts w:ascii="Times New Roman" w:hAnsi="Times New Roman" w:eastAsia="Times New Roman" w:cs="Times New Roman"/>
                <w:sz w:val="28"/>
                <w:szCs w:val="28"/>
              </w:rPr>
              <w:tab/>
            </w:r>
          </w:p>
        </w:tc>
        <w:tc>
          <w:tcPr>
            <w:tcW w:w="711" w:type="dxa"/>
            <w:tcBorders>
              <w:top w:val="nil"/>
              <w:left w:val="outset" w:color="auto" w:sz="6" w:space="0"/>
              <w:bottom w:val="outset" w:color="auto" w:sz="6" w:space="0"/>
              <w:right w:val="outset" w:color="auto" w:sz="6" w:space="0"/>
            </w:tcBorders>
          </w:tcPr>
          <w:p w14:paraId="5DC7C910">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95,35</w:t>
            </w:r>
          </w:p>
          <w:p w14:paraId="5479616C">
            <w:pPr>
              <w:widowControl w:val="0"/>
              <w:autoSpaceDE w:val="0"/>
              <w:autoSpaceDN w:val="0"/>
              <w:spacing w:after="0" w:line="276" w:lineRule="auto"/>
              <w:jc w:val="both"/>
              <w:outlineLvl w:val="0"/>
              <w:rPr>
                <w:rFonts w:ascii="Times New Roman" w:hAnsi="Times New Roman" w:eastAsia="Times New Roman" w:cs="Times New Roman"/>
                <w:sz w:val="28"/>
                <w:szCs w:val="28"/>
              </w:rPr>
            </w:pPr>
          </w:p>
        </w:tc>
        <w:tc>
          <w:tcPr>
            <w:tcW w:w="704" w:type="dxa"/>
            <w:tcBorders>
              <w:top w:val="nil"/>
              <w:left w:val="outset" w:color="auto" w:sz="6" w:space="0"/>
              <w:bottom w:val="outset" w:color="auto" w:sz="6" w:space="0"/>
              <w:right w:val="outset" w:color="auto" w:sz="6" w:space="0"/>
            </w:tcBorders>
          </w:tcPr>
          <w:p w14:paraId="4F9B5AAE">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4,65</w:t>
            </w:r>
          </w:p>
        </w:tc>
        <w:tc>
          <w:tcPr>
            <w:tcW w:w="703" w:type="dxa"/>
            <w:tcBorders>
              <w:top w:val="nil"/>
              <w:left w:val="outset" w:color="auto" w:sz="6" w:space="0"/>
              <w:bottom w:val="outset" w:color="auto" w:sz="6" w:space="0"/>
              <w:right w:val="outset" w:color="auto" w:sz="6" w:space="0"/>
            </w:tcBorders>
          </w:tcPr>
          <w:p w14:paraId="15F29503">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92,50</w:t>
            </w:r>
          </w:p>
          <w:p w14:paraId="164B58BA">
            <w:pPr>
              <w:widowControl w:val="0"/>
              <w:autoSpaceDE w:val="0"/>
              <w:autoSpaceDN w:val="0"/>
              <w:spacing w:after="0" w:line="276" w:lineRule="auto"/>
              <w:jc w:val="both"/>
              <w:outlineLvl w:val="0"/>
              <w:rPr>
                <w:rFonts w:ascii="Times New Roman" w:hAnsi="Times New Roman" w:eastAsia="Times New Roman" w:cs="Times New Roman"/>
                <w:sz w:val="28"/>
                <w:szCs w:val="28"/>
              </w:rPr>
            </w:pPr>
          </w:p>
        </w:tc>
        <w:tc>
          <w:tcPr>
            <w:tcW w:w="835" w:type="dxa"/>
            <w:tcBorders>
              <w:top w:val="nil"/>
              <w:left w:val="outset" w:color="auto" w:sz="6" w:space="0"/>
              <w:bottom w:val="outset" w:color="auto" w:sz="6" w:space="0"/>
              <w:right w:val="outset" w:color="auto" w:sz="6" w:space="0"/>
            </w:tcBorders>
          </w:tcPr>
          <w:p w14:paraId="639799BB">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7,50</w:t>
            </w:r>
          </w:p>
        </w:tc>
        <w:tc>
          <w:tcPr>
            <w:tcW w:w="703" w:type="dxa"/>
            <w:tcBorders>
              <w:top w:val="nil"/>
              <w:left w:val="outset" w:color="auto" w:sz="6" w:space="0"/>
              <w:bottom w:val="outset" w:color="auto" w:sz="6" w:space="0"/>
              <w:right w:val="outset" w:color="auto" w:sz="6" w:space="0"/>
            </w:tcBorders>
          </w:tcPr>
          <w:p w14:paraId="49F183AF">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81,58</w:t>
            </w:r>
          </w:p>
          <w:p w14:paraId="5155A7DD">
            <w:pPr>
              <w:widowControl w:val="0"/>
              <w:autoSpaceDE w:val="0"/>
              <w:autoSpaceDN w:val="0"/>
              <w:spacing w:after="0" w:line="276" w:lineRule="auto"/>
              <w:jc w:val="both"/>
              <w:outlineLvl w:val="0"/>
              <w:rPr>
                <w:rFonts w:ascii="Times New Roman" w:hAnsi="Times New Roman" w:eastAsia="Times New Roman" w:cs="Times New Roman"/>
                <w:sz w:val="28"/>
                <w:szCs w:val="28"/>
              </w:rPr>
            </w:pPr>
          </w:p>
        </w:tc>
        <w:tc>
          <w:tcPr>
            <w:tcW w:w="706" w:type="dxa"/>
            <w:tcBorders>
              <w:top w:val="nil"/>
              <w:left w:val="outset" w:color="auto" w:sz="6" w:space="0"/>
              <w:bottom w:val="outset" w:color="auto" w:sz="6" w:space="0"/>
              <w:right w:val="outset" w:color="auto" w:sz="6" w:space="0"/>
            </w:tcBorders>
          </w:tcPr>
          <w:p w14:paraId="5E15BA93">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18,42</w:t>
            </w:r>
          </w:p>
        </w:tc>
        <w:tc>
          <w:tcPr>
            <w:tcW w:w="703" w:type="dxa"/>
            <w:tcBorders>
              <w:top w:val="nil"/>
              <w:left w:val="outset" w:color="auto" w:sz="6" w:space="0"/>
              <w:bottom w:val="outset" w:color="auto" w:sz="6" w:space="0"/>
              <w:right w:val="outset" w:color="auto" w:sz="6" w:space="0"/>
            </w:tcBorders>
          </w:tcPr>
          <w:p w14:paraId="02A38BD2">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80,56</w:t>
            </w:r>
          </w:p>
          <w:p w14:paraId="5737B8C6">
            <w:pPr>
              <w:widowControl w:val="0"/>
              <w:autoSpaceDE w:val="0"/>
              <w:autoSpaceDN w:val="0"/>
              <w:spacing w:after="0" w:line="276" w:lineRule="auto"/>
              <w:jc w:val="both"/>
              <w:outlineLvl w:val="0"/>
              <w:rPr>
                <w:rFonts w:ascii="Times New Roman" w:hAnsi="Times New Roman" w:eastAsia="Times New Roman" w:cs="Times New Roman"/>
                <w:sz w:val="28"/>
                <w:szCs w:val="28"/>
              </w:rPr>
            </w:pPr>
          </w:p>
        </w:tc>
        <w:tc>
          <w:tcPr>
            <w:tcW w:w="706" w:type="dxa"/>
            <w:tcBorders>
              <w:top w:val="nil"/>
              <w:left w:val="outset" w:color="auto" w:sz="6" w:space="0"/>
              <w:bottom w:val="outset" w:color="auto" w:sz="6" w:space="0"/>
              <w:right w:val="outset" w:color="auto" w:sz="6" w:space="0"/>
            </w:tcBorders>
          </w:tcPr>
          <w:p w14:paraId="0FB87AB2">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19,44</w:t>
            </w:r>
          </w:p>
        </w:tc>
        <w:tc>
          <w:tcPr>
            <w:tcW w:w="833" w:type="dxa"/>
            <w:tcBorders>
              <w:top w:val="nil"/>
              <w:left w:val="outset" w:color="auto" w:sz="6" w:space="0"/>
              <w:bottom w:val="outset" w:color="auto" w:sz="6" w:space="0"/>
              <w:right w:val="outset" w:color="auto" w:sz="6" w:space="0"/>
            </w:tcBorders>
            <w:vAlign w:val="center"/>
          </w:tcPr>
          <w:p w14:paraId="3347C553">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6,291</w:t>
            </w:r>
          </w:p>
        </w:tc>
        <w:tc>
          <w:tcPr>
            <w:tcW w:w="969" w:type="dxa"/>
            <w:tcBorders>
              <w:top w:val="nil"/>
              <w:left w:val="outset" w:color="auto" w:sz="6" w:space="0"/>
              <w:bottom w:val="outset" w:color="auto" w:sz="6" w:space="0"/>
              <w:right w:val="outset" w:color="auto" w:sz="6" w:space="0"/>
            </w:tcBorders>
            <w:vAlign w:val="center"/>
          </w:tcPr>
          <w:p w14:paraId="6369BFA4">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0,098</w:t>
            </w:r>
          </w:p>
        </w:tc>
      </w:tr>
      <w:tr w14:paraId="6A2CCFEB">
        <w:tblPrEx>
          <w:tblCellMar>
            <w:top w:w="15" w:type="dxa"/>
            <w:left w:w="15" w:type="dxa"/>
            <w:bottom w:w="15" w:type="dxa"/>
            <w:right w:w="15" w:type="dxa"/>
          </w:tblCellMar>
        </w:tblPrEx>
        <w:tc>
          <w:tcPr>
            <w:tcW w:w="1812" w:type="dxa"/>
            <w:tcBorders>
              <w:top w:val="nil"/>
              <w:left w:val="outset" w:color="auto" w:sz="6" w:space="0"/>
              <w:bottom w:val="outset" w:color="auto" w:sz="6" w:space="0"/>
              <w:right w:val="outset" w:color="auto" w:sz="6" w:space="0"/>
            </w:tcBorders>
          </w:tcPr>
          <w:p w14:paraId="29BC0A37">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Иық дистоциясы</w:t>
            </w:r>
            <w:r>
              <w:rPr>
                <w:rFonts w:ascii="Times New Roman" w:hAnsi="Times New Roman" w:eastAsia="Times New Roman" w:cs="Times New Roman"/>
                <w:sz w:val="28"/>
                <w:szCs w:val="28"/>
              </w:rPr>
              <w:tab/>
            </w:r>
          </w:p>
        </w:tc>
        <w:tc>
          <w:tcPr>
            <w:tcW w:w="711" w:type="dxa"/>
            <w:tcBorders>
              <w:top w:val="nil"/>
              <w:left w:val="outset" w:color="auto" w:sz="6" w:space="0"/>
              <w:bottom w:val="outset" w:color="auto" w:sz="6" w:space="0"/>
              <w:right w:val="outset" w:color="auto" w:sz="6" w:space="0"/>
            </w:tcBorders>
          </w:tcPr>
          <w:p w14:paraId="2DE0988E">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100,0</w:t>
            </w:r>
          </w:p>
          <w:p w14:paraId="1C493862">
            <w:pPr>
              <w:widowControl w:val="0"/>
              <w:autoSpaceDE w:val="0"/>
              <w:autoSpaceDN w:val="0"/>
              <w:spacing w:after="0" w:line="276" w:lineRule="auto"/>
              <w:jc w:val="both"/>
              <w:outlineLvl w:val="0"/>
              <w:rPr>
                <w:rFonts w:ascii="Times New Roman" w:hAnsi="Times New Roman" w:eastAsia="Times New Roman" w:cs="Times New Roman"/>
                <w:sz w:val="28"/>
                <w:szCs w:val="28"/>
              </w:rPr>
            </w:pPr>
          </w:p>
        </w:tc>
        <w:tc>
          <w:tcPr>
            <w:tcW w:w="704" w:type="dxa"/>
            <w:tcBorders>
              <w:top w:val="nil"/>
              <w:left w:val="outset" w:color="auto" w:sz="6" w:space="0"/>
              <w:bottom w:val="outset" w:color="auto" w:sz="6" w:space="0"/>
              <w:right w:val="outset" w:color="auto" w:sz="6" w:space="0"/>
            </w:tcBorders>
          </w:tcPr>
          <w:p w14:paraId="4004D54D">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0,0</w:t>
            </w:r>
          </w:p>
        </w:tc>
        <w:tc>
          <w:tcPr>
            <w:tcW w:w="703" w:type="dxa"/>
            <w:tcBorders>
              <w:top w:val="nil"/>
              <w:left w:val="outset" w:color="auto" w:sz="6" w:space="0"/>
              <w:bottom w:val="outset" w:color="auto" w:sz="6" w:space="0"/>
              <w:right w:val="outset" w:color="auto" w:sz="6" w:space="0"/>
            </w:tcBorders>
          </w:tcPr>
          <w:p w14:paraId="1477D2AD">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95,00</w:t>
            </w:r>
          </w:p>
          <w:p w14:paraId="53D9F94F">
            <w:pPr>
              <w:widowControl w:val="0"/>
              <w:autoSpaceDE w:val="0"/>
              <w:autoSpaceDN w:val="0"/>
              <w:spacing w:after="0" w:line="276" w:lineRule="auto"/>
              <w:jc w:val="both"/>
              <w:outlineLvl w:val="0"/>
              <w:rPr>
                <w:rFonts w:ascii="Times New Roman" w:hAnsi="Times New Roman" w:eastAsia="Times New Roman" w:cs="Times New Roman"/>
                <w:sz w:val="28"/>
                <w:szCs w:val="28"/>
              </w:rPr>
            </w:pPr>
          </w:p>
        </w:tc>
        <w:tc>
          <w:tcPr>
            <w:tcW w:w="835" w:type="dxa"/>
            <w:tcBorders>
              <w:top w:val="nil"/>
              <w:left w:val="outset" w:color="auto" w:sz="6" w:space="0"/>
              <w:bottom w:val="outset" w:color="auto" w:sz="6" w:space="0"/>
              <w:right w:val="outset" w:color="auto" w:sz="6" w:space="0"/>
            </w:tcBorders>
          </w:tcPr>
          <w:p w14:paraId="6C3E29F5">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5,00</w:t>
            </w:r>
          </w:p>
        </w:tc>
        <w:tc>
          <w:tcPr>
            <w:tcW w:w="703" w:type="dxa"/>
            <w:tcBorders>
              <w:top w:val="nil"/>
              <w:left w:val="outset" w:color="auto" w:sz="6" w:space="0"/>
              <w:bottom w:val="outset" w:color="auto" w:sz="6" w:space="0"/>
              <w:right w:val="outset" w:color="auto" w:sz="6" w:space="0"/>
            </w:tcBorders>
          </w:tcPr>
          <w:p w14:paraId="27DC892D">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78,95</w:t>
            </w:r>
          </w:p>
          <w:p w14:paraId="52874FD9">
            <w:pPr>
              <w:widowControl w:val="0"/>
              <w:autoSpaceDE w:val="0"/>
              <w:autoSpaceDN w:val="0"/>
              <w:spacing w:after="0" w:line="276" w:lineRule="auto"/>
              <w:jc w:val="both"/>
              <w:outlineLvl w:val="0"/>
              <w:rPr>
                <w:rFonts w:ascii="Times New Roman" w:hAnsi="Times New Roman" w:eastAsia="Times New Roman" w:cs="Times New Roman"/>
                <w:sz w:val="28"/>
                <w:szCs w:val="28"/>
              </w:rPr>
            </w:pPr>
          </w:p>
        </w:tc>
        <w:tc>
          <w:tcPr>
            <w:tcW w:w="706" w:type="dxa"/>
            <w:tcBorders>
              <w:top w:val="nil"/>
              <w:left w:val="outset" w:color="auto" w:sz="6" w:space="0"/>
              <w:bottom w:val="outset" w:color="auto" w:sz="6" w:space="0"/>
              <w:right w:val="outset" w:color="auto" w:sz="6" w:space="0"/>
            </w:tcBorders>
          </w:tcPr>
          <w:p w14:paraId="2C0F2322">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21,05</w:t>
            </w:r>
          </w:p>
        </w:tc>
        <w:tc>
          <w:tcPr>
            <w:tcW w:w="703" w:type="dxa"/>
            <w:tcBorders>
              <w:top w:val="nil"/>
              <w:left w:val="outset" w:color="auto" w:sz="6" w:space="0"/>
              <w:bottom w:val="outset" w:color="auto" w:sz="6" w:space="0"/>
              <w:right w:val="outset" w:color="auto" w:sz="6" w:space="0"/>
            </w:tcBorders>
          </w:tcPr>
          <w:p w14:paraId="5BC38706">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88,89</w:t>
            </w:r>
          </w:p>
          <w:p w14:paraId="771FC971">
            <w:pPr>
              <w:widowControl w:val="0"/>
              <w:autoSpaceDE w:val="0"/>
              <w:autoSpaceDN w:val="0"/>
              <w:spacing w:after="0" w:line="276" w:lineRule="auto"/>
              <w:jc w:val="both"/>
              <w:outlineLvl w:val="0"/>
              <w:rPr>
                <w:rFonts w:ascii="Times New Roman" w:hAnsi="Times New Roman" w:eastAsia="Times New Roman" w:cs="Times New Roman"/>
                <w:sz w:val="28"/>
                <w:szCs w:val="28"/>
              </w:rPr>
            </w:pPr>
          </w:p>
        </w:tc>
        <w:tc>
          <w:tcPr>
            <w:tcW w:w="706" w:type="dxa"/>
            <w:tcBorders>
              <w:top w:val="nil"/>
              <w:left w:val="outset" w:color="auto" w:sz="6" w:space="0"/>
              <w:bottom w:val="outset" w:color="auto" w:sz="6" w:space="0"/>
              <w:right w:val="outset" w:color="auto" w:sz="6" w:space="0"/>
            </w:tcBorders>
          </w:tcPr>
          <w:p w14:paraId="197FF335">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11,11</w:t>
            </w:r>
          </w:p>
        </w:tc>
        <w:tc>
          <w:tcPr>
            <w:tcW w:w="833" w:type="dxa"/>
            <w:tcBorders>
              <w:top w:val="nil"/>
              <w:left w:val="outset" w:color="auto" w:sz="6" w:space="0"/>
              <w:bottom w:val="outset" w:color="auto" w:sz="6" w:space="0"/>
              <w:right w:val="outset" w:color="auto" w:sz="6" w:space="0"/>
            </w:tcBorders>
            <w:vAlign w:val="center"/>
          </w:tcPr>
          <w:p w14:paraId="5CA1F52B">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12,069</w:t>
            </w:r>
          </w:p>
        </w:tc>
        <w:tc>
          <w:tcPr>
            <w:tcW w:w="969" w:type="dxa"/>
            <w:tcBorders>
              <w:top w:val="nil"/>
              <w:left w:val="outset" w:color="auto" w:sz="6" w:space="0"/>
              <w:bottom w:val="outset" w:color="auto" w:sz="6" w:space="0"/>
              <w:right w:val="outset" w:color="auto" w:sz="6" w:space="0"/>
            </w:tcBorders>
            <w:vAlign w:val="center"/>
          </w:tcPr>
          <w:p w14:paraId="4C47664F">
            <w:pPr>
              <w:widowControl w:val="0"/>
              <w:autoSpaceDE w:val="0"/>
              <w:autoSpaceDN w:val="0"/>
              <w:spacing w:after="0" w:line="276" w:lineRule="auto"/>
              <w:jc w:val="both"/>
              <w:outlineLvl w:val="0"/>
              <w:rPr>
                <w:rFonts w:ascii="Times New Roman" w:hAnsi="Times New Roman" w:eastAsia="Times New Roman" w:cs="Times New Roman"/>
                <w:b/>
                <w:sz w:val="28"/>
                <w:szCs w:val="28"/>
              </w:rPr>
            </w:pPr>
            <w:r>
              <w:rPr>
                <w:rFonts w:ascii="Times New Roman" w:hAnsi="Times New Roman" w:eastAsia="Times New Roman" w:cs="Times New Roman"/>
                <w:b/>
                <w:sz w:val="28"/>
                <w:szCs w:val="28"/>
              </w:rPr>
              <w:t>0,0072</w:t>
            </w:r>
            <w:r>
              <w:rPr>
                <w:rFonts w:ascii="Times New Roman" w:hAnsi="Times New Roman" w:eastAsia="Times New Roman" w:cs="Times New Roman"/>
                <w:b/>
                <w:bCs/>
                <w:sz w:val="28"/>
                <w:szCs w:val="28"/>
              </w:rPr>
              <w:t>*</w:t>
            </w:r>
          </w:p>
        </w:tc>
      </w:tr>
      <w:tr w14:paraId="12C82D2C">
        <w:tblPrEx>
          <w:tblCellMar>
            <w:top w:w="15" w:type="dxa"/>
            <w:left w:w="15" w:type="dxa"/>
            <w:bottom w:w="15" w:type="dxa"/>
            <w:right w:w="15" w:type="dxa"/>
          </w:tblCellMar>
        </w:tblPrEx>
        <w:tc>
          <w:tcPr>
            <w:tcW w:w="1812" w:type="dxa"/>
            <w:tcBorders>
              <w:top w:val="nil"/>
              <w:left w:val="outset" w:color="auto" w:sz="6" w:space="0"/>
              <w:bottom w:val="outset" w:color="auto" w:sz="6" w:space="0"/>
              <w:right w:val="outset" w:color="auto" w:sz="6" w:space="0"/>
            </w:tcBorders>
          </w:tcPr>
          <w:p w14:paraId="543167CD">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Мерзімінен бұрын босану</w:t>
            </w:r>
          </w:p>
        </w:tc>
        <w:tc>
          <w:tcPr>
            <w:tcW w:w="711" w:type="dxa"/>
            <w:tcBorders>
              <w:top w:val="nil"/>
              <w:left w:val="outset" w:color="auto" w:sz="6" w:space="0"/>
              <w:bottom w:val="outset" w:color="auto" w:sz="6" w:space="0"/>
              <w:right w:val="outset" w:color="auto" w:sz="6" w:space="0"/>
            </w:tcBorders>
          </w:tcPr>
          <w:p w14:paraId="0667FFDD">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90,70</w:t>
            </w:r>
          </w:p>
          <w:p w14:paraId="5ECF7356">
            <w:pPr>
              <w:widowControl w:val="0"/>
              <w:autoSpaceDE w:val="0"/>
              <w:autoSpaceDN w:val="0"/>
              <w:spacing w:after="0" w:line="276" w:lineRule="auto"/>
              <w:jc w:val="both"/>
              <w:outlineLvl w:val="0"/>
              <w:rPr>
                <w:rFonts w:ascii="Times New Roman" w:hAnsi="Times New Roman" w:eastAsia="Times New Roman" w:cs="Times New Roman"/>
                <w:sz w:val="28"/>
                <w:szCs w:val="28"/>
              </w:rPr>
            </w:pPr>
          </w:p>
        </w:tc>
        <w:tc>
          <w:tcPr>
            <w:tcW w:w="704" w:type="dxa"/>
            <w:tcBorders>
              <w:top w:val="nil"/>
              <w:left w:val="outset" w:color="auto" w:sz="6" w:space="0"/>
              <w:bottom w:val="outset" w:color="auto" w:sz="6" w:space="0"/>
              <w:right w:val="outset" w:color="auto" w:sz="6" w:space="0"/>
            </w:tcBorders>
          </w:tcPr>
          <w:p w14:paraId="578890F8">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9,30</w:t>
            </w:r>
          </w:p>
        </w:tc>
        <w:tc>
          <w:tcPr>
            <w:tcW w:w="703" w:type="dxa"/>
            <w:tcBorders>
              <w:top w:val="nil"/>
              <w:left w:val="outset" w:color="auto" w:sz="6" w:space="0"/>
              <w:bottom w:val="outset" w:color="auto" w:sz="6" w:space="0"/>
              <w:right w:val="outset" w:color="auto" w:sz="6" w:space="0"/>
            </w:tcBorders>
          </w:tcPr>
          <w:p w14:paraId="2D2E550F">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97,50</w:t>
            </w:r>
          </w:p>
          <w:p w14:paraId="6581E78E">
            <w:pPr>
              <w:widowControl w:val="0"/>
              <w:autoSpaceDE w:val="0"/>
              <w:autoSpaceDN w:val="0"/>
              <w:spacing w:after="0" w:line="276" w:lineRule="auto"/>
              <w:jc w:val="both"/>
              <w:outlineLvl w:val="0"/>
              <w:rPr>
                <w:rFonts w:ascii="Times New Roman" w:hAnsi="Times New Roman" w:eastAsia="Times New Roman" w:cs="Times New Roman"/>
                <w:sz w:val="28"/>
                <w:szCs w:val="28"/>
              </w:rPr>
            </w:pPr>
          </w:p>
        </w:tc>
        <w:tc>
          <w:tcPr>
            <w:tcW w:w="835" w:type="dxa"/>
            <w:tcBorders>
              <w:top w:val="nil"/>
              <w:left w:val="outset" w:color="auto" w:sz="6" w:space="0"/>
              <w:bottom w:val="outset" w:color="auto" w:sz="6" w:space="0"/>
              <w:right w:val="outset" w:color="auto" w:sz="6" w:space="0"/>
            </w:tcBorders>
          </w:tcPr>
          <w:p w14:paraId="439D1AE3">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2,50</w:t>
            </w:r>
          </w:p>
        </w:tc>
        <w:tc>
          <w:tcPr>
            <w:tcW w:w="703" w:type="dxa"/>
            <w:tcBorders>
              <w:top w:val="nil"/>
              <w:left w:val="outset" w:color="auto" w:sz="6" w:space="0"/>
              <w:bottom w:val="outset" w:color="auto" w:sz="6" w:space="0"/>
              <w:right w:val="outset" w:color="auto" w:sz="6" w:space="0"/>
            </w:tcBorders>
          </w:tcPr>
          <w:p w14:paraId="7D1D4A4E">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86,84</w:t>
            </w:r>
          </w:p>
          <w:p w14:paraId="67B89C5A">
            <w:pPr>
              <w:widowControl w:val="0"/>
              <w:autoSpaceDE w:val="0"/>
              <w:autoSpaceDN w:val="0"/>
              <w:spacing w:after="0" w:line="276" w:lineRule="auto"/>
              <w:jc w:val="both"/>
              <w:outlineLvl w:val="0"/>
              <w:rPr>
                <w:rFonts w:ascii="Times New Roman" w:hAnsi="Times New Roman" w:eastAsia="Times New Roman" w:cs="Times New Roman"/>
                <w:sz w:val="28"/>
                <w:szCs w:val="28"/>
              </w:rPr>
            </w:pPr>
          </w:p>
        </w:tc>
        <w:tc>
          <w:tcPr>
            <w:tcW w:w="706" w:type="dxa"/>
            <w:tcBorders>
              <w:top w:val="nil"/>
              <w:left w:val="outset" w:color="auto" w:sz="6" w:space="0"/>
              <w:bottom w:val="outset" w:color="auto" w:sz="6" w:space="0"/>
              <w:right w:val="outset" w:color="auto" w:sz="6" w:space="0"/>
            </w:tcBorders>
          </w:tcPr>
          <w:p w14:paraId="30531904">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13,16</w:t>
            </w:r>
          </w:p>
        </w:tc>
        <w:tc>
          <w:tcPr>
            <w:tcW w:w="703" w:type="dxa"/>
            <w:tcBorders>
              <w:top w:val="nil"/>
              <w:left w:val="outset" w:color="auto" w:sz="6" w:space="0"/>
              <w:bottom w:val="outset" w:color="auto" w:sz="6" w:space="0"/>
              <w:right w:val="outset" w:color="auto" w:sz="6" w:space="0"/>
            </w:tcBorders>
          </w:tcPr>
          <w:p w14:paraId="7EF36CA4">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86,11</w:t>
            </w:r>
          </w:p>
          <w:p w14:paraId="5B9BC6A3">
            <w:pPr>
              <w:widowControl w:val="0"/>
              <w:autoSpaceDE w:val="0"/>
              <w:autoSpaceDN w:val="0"/>
              <w:spacing w:after="0" w:line="276" w:lineRule="auto"/>
              <w:jc w:val="both"/>
              <w:outlineLvl w:val="0"/>
              <w:rPr>
                <w:rFonts w:ascii="Times New Roman" w:hAnsi="Times New Roman" w:eastAsia="Times New Roman" w:cs="Times New Roman"/>
                <w:sz w:val="28"/>
                <w:szCs w:val="28"/>
              </w:rPr>
            </w:pPr>
          </w:p>
        </w:tc>
        <w:tc>
          <w:tcPr>
            <w:tcW w:w="706" w:type="dxa"/>
            <w:tcBorders>
              <w:top w:val="nil"/>
              <w:left w:val="outset" w:color="auto" w:sz="6" w:space="0"/>
              <w:bottom w:val="outset" w:color="auto" w:sz="6" w:space="0"/>
              <w:right w:val="outset" w:color="auto" w:sz="6" w:space="0"/>
            </w:tcBorders>
          </w:tcPr>
          <w:p w14:paraId="02204D2F">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13,89</w:t>
            </w:r>
          </w:p>
        </w:tc>
        <w:tc>
          <w:tcPr>
            <w:tcW w:w="833" w:type="dxa"/>
            <w:tcBorders>
              <w:top w:val="nil"/>
              <w:left w:val="outset" w:color="auto" w:sz="6" w:space="0"/>
              <w:bottom w:val="outset" w:color="auto" w:sz="6" w:space="0"/>
              <w:right w:val="outset" w:color="auto" w:sz="6" w:space="0"/>
            </w:tcBorders>
            <w:vAlign w:val="center"/>
          </w:tcPr>
          <w:p w14:paraId="2C3DC21E">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3,661</w:t>
            </w:r>
          </w:p>
        </w:tc>
        <w:tc>
          <w:tcPr>
            <w:tcW w:w="969" w:type="dxa"/>
            <w:tcBorders>
              <w:top w:val="nil"/>
              <w:left w:val="outset" w:color="auto" w:sz="6" w:space="0"/>
              <w:bottom w:val="outset" w:color="auto" w:sz="6" w:space="0"/>
              <w:right w:val="outset" w:color="auto" w:sz="6" w:space="0"/>
            </w:tcBorders>
            <w:vAlign w:val="center"/>
          </w:tcPr>
          <w:p w14:paraId="584CBBA9">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0,301</w:t>
            </w:r>
          </w:p>
        </w:tc>
      </w:tr>
      <w:tr w14:paraId="38002DE4">
        <w:tblPrEx>
          <w:tblCellMar>
            <w:top w:w="15" w:type="dxa"/>
            <w:left w:w="15" w:type="dxa"/>
            <w:bottom w:w="15" w:type="dxa"/>
            <w:right w:w="15" w:type="dxa"/>
          </w:tblCellMar>
        </w:tblPrEx>
        <w:tc>
          <w:tcPr>
            <w:tcW w:w="1812" w:type="dxa"/>
            <w:tcBorders>
              <w:top w:val="nil"/>
              <w:left w:val="outset" w:color="auto" w:sz="6" w:space="0"/>
              <w:bottom w:val="outset" w:color="auto" w:sz="6" w:space="0"/>
              <w:right w:val="outset" w:color="auto" w:sz="6" w:space="0"/>
            </w:tcBorders>
          </w:tcPr>
          <w:p w14:paraId="24799E3E">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Антенатальді ұрық өлімі</w:t>
            </w:r>
          </w:p>
        </w:tc>
        <w:tc>
          <w:tcPr>
            <w:tcW w:w="711" w:type="dxa"/>
            <w:tcBorders>
              <w:top w:val="nil"/>
              <w:left w:val="outset" w:color="auto" w:sz="6" w:space="0"/>
              <w:bottom w:val="outset" w:color="auto" w:sz="6" w:space="0"/>
              <w:right w:val="outset" w:color="auto" w:sz="6" w:space="0"/>
            </w:tcBorders>
          </w:tcPr>
          <w:p w14:paraId="68B87F45">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97,67</w:t>
            </w:r>
          </w:p>
          <w:p w14:paraId="08F7769A">
            <w:pPr>
              <w:widowControl w:val="0"/>
              <w:autoSpaceDE w:val="0"/>
              <w:autoSpaceDN w:val="0"/>
              <w:spacing w:after="0" w:line="276" w:lineRule="auto"/>
              <w:jc w:val="both"/>
              <w:outlineLvl w:val="0"/>
              <w:rPr>
                <w:rFonts w:ascii="Times New Roman" w:hAnsi="Times New Roman" w:eastAsia="Times New Roman" w:cs="Times New Roman"/>
                <w:sz w:val="28"/>
                <w:szCs w:val="28"/>
              </w:rPr>
            </w:pPr>
          </w:p>
        </w:tc>
        <w:tc>
          <w:tcPr>
            <w:tcW w:w="704" w:type="dxa"/>
            <w:tcBorders>
              <w:top w:val="nil"/>
              <w:left w:val="outset" w:color="auto" w:sz="6" w:space="0"/>
              <w:bottom w:val="outset" w:color="auto" w:sz="6" w:space="0"/>
              <w:right w:val="outset" w:color="auto" w:sz="6" w:space="0"/>
            </w:tcBorders>
          </w:tcPr>
          <w:p w14:paraId="188DA114">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2,33*</w:t>
            </w:r>
          </w:p>
        </w:tc>
        <w:tc>
          <w:tcPr>
            <w:tcW w:w="703" w:type="dxa"/>
            <w:tcBorders>
              <w:top w:val="nil"/>
              <w:left w:val="outset" w:color="auto" w:sz="6" w:space="0"/>
              <w:bottom w:val="outset" w:color="auto" w:sz="6" w:space="0"/>
              <w:right w:val="outset" w:color="auto" w:sz="6" w:space="0"/>
            </w:tcBorders>
          </w:tcPr>
          <w:p w14:paraId="0C693969">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85,00</w:t>
            </w:r>
          </w:p>
          <w:p w14:paraId="3BCC2D03">
            <w:pPr>
              <w:widowControl w:val="0"/>
              <w:autoSpaceDE w:val="0"/>
              <w:autoSpaceDN w:val="0"/>
              <w:spacing w:after="0" w:line="276" w:lineRule="auto"/>
              <w:jc w:val="both"/>
              <w:outlineLvl w:val="0"/>
              <w:rPr>
                <w:rFonts w:ascii="Times New Roman" w:hAnsi="Times New Roman" w:eastAsia="Times New Roman" w:cs="Times New Roman"/>
                <w:sz w:val="28"/>
                <w:szCs w:val="28"/>
              </w:rPr>
            </w:pPr>
          </w:p>
        </w:tc>
        <w:tc>
          <w:tcPr>
            <w:tcW w:w="835" w:type="dxa"/>
            <w:tcBorders>
              <w:top w:val="nil"/>
              <w:left w:val="outset" w:color="auto" w:sz="6" w:space="0"/>
              <w:bottom w:val="outset" w:color="auto" w:sz="6" w:space="0"/>
              <w:right w:val="outset" w:color="auto" w:sz="6" w:space="0"/>
            </w:tcBorders>
          </w:tcPr>
          <w:p w14:paraId="22E7AAF3">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15,00*</w:t>
            </w:r>
          </w:p>
        </w:tc>
        <w:tc>
          <w:tcPr>
            <w:tcW w:w="703" w:type="dxa"/>
            <w:tcBorders>
              <w:top w:val="nil"/>
              <w:left w:val="outset" w:color="auto" w:sz="6" w:space="0"/>
              <w:bottom w:val="outset" w:color="auto" w:sz="6" w:space="0"/>
              <w:right w:val="outset" w:color="auto" w:sz="6" w:space="0"/>
            </w:tcBorders>
          </w:tcPr>
          <w:p w14:paraId="2C960478">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92,11</w:t>
            </w:r>
          </w:p>
          <w:p w14:paraId="1236416B">
            <w:pPr>
              <w:widowControl w:val="0"/>
              <w:autoSpaceDE w:val="0"/>
              <w:autoSpaceDN w:val="0"/>
              <w:spacing w:after="0" w:line="276" w:lineRule="auto"/>
              <w:jc w:val="both"/>
              <w:outlineLvl w:val="0"/>
              <w:rPr>
                <w:rFonts w:ascii="Times New Roman" w:hAnsi="Times New Roman" w:eastAsia="Times New Roman" w:cs="Times New Roman"/>
                <w:sz w:val="28"/>
                <w:szCs w:val="28"/>
              </w:rPr>
            </w:pPr>
          </w:p>
        </w:tc>
        <w:tc>
          <w:tcPr>
            <w:tcW w:w="706" w:type="dxa"/>
            <w:tcBorders>
              <w:top w:val="nil"/>
              <w:left w:val="outset" w:color="auto" w:sz="6" w:space="0"/>
              <w:bottom w:val="outset" w:color="auto" w:sz="6" w:space="0"/>
              <w:right w:val="outset" w:color="auto" w:sz="6" w:space="0"/>
            </w:tcBorders>
          </w:tcPr>
          <w:p w14:paraId="467866D5">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7,89</w:t>
            </w:r>
          </w:p>
        </w:tc>
        <w:tc>
          <w:tcPr>
            <w:tcW w:w="703" w:type="dxa"/>
            <w:tcBorders>
              <w:top w:val="nil"/>
              <w:left w:val="outset" w:color="auto" w:sz="6" w:space="0"/>
              <w:bottom w:val="outset" w:color="auto" w:sz="6" w:space="0"/>
              <w:right w:val="outset" w:color="auto" w:sz="6" w:space="0"/>
            </w:tcBorders>
          </w:tcPr>
          <w:p w14:paraId="140DE5BA">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91,67</w:t>
            </w:r>
          </w:p>
          <w:p w14:paraId="7432DD12">
            <w:pPr>
              <w:widowControl w:val="0"/>
              <w:autoSpaceDE w:val="0"/>
              <w:autoSpaceDN w:val="0"/>
              <w:spacing w:after="0" w:line="276" w:lineRule="auto"/>
              <w:jc w:val="both"/>
              <w:outlineLvl w:val="0"/>
              <w:rPr>
                <w:rFonts w:ascii="Times New Roman" w:hAnsi="Times New Roman" w:eastAsia="Times New Roman" w:cs="Times New Roman"/>
                <w:sz w:val="28"/>
                <w:szCs w:val="28"/>
              </w:rPr>
            </w:pPr>
          </w:p>
        </w:tc>
        <w:tc>
          <w:tcPr>
            <w:tcW w:w="706" w:type="dxa"/>
            <w:tcBorders>
              <w:top w:val="nil"/>
              <w:left w:val="outset" w:color="auto" w:sz="6" w:space="0"/>
              <w:bottom w:val="outset" w:color="auto" w:sz="6" w:space="0"/>
              <w:right w:val="outset" w:color="auto" w:sz="6" w:space="0"/>
            </w:tcBorders>
          </w:tcPr>
          <w:p w14:paraId="5E57E6D6">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8,33</w:t>
            </w:r>
          </w:p>
        </w:tc>
        <w:tc>
          <w:tcPr>
            <w:tcW w:w="833" w:type="dxa"/>
            <w:tcBorders>
              <w:top w:val="nil"/>
              <w:left w:val="outset" w:color="auto" w:sz="6" w:space="0"/>
              <w:bottom w:val="outset" w:color="auto" w:sz="6" w:space="0"/>
              <w:right w:val="outset" w:color="auto" w:sz="6" w:space="0"/>
            </w:tcBorders>
            <w:vAlign w:val="center"/>
          </w:tcPr>
          <w:p w14:paraId="6D3F7DC6">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4,393</w:t>
            </w:r>
          </w:p>
        </w:tc>
        <w:tc>
          <w:tcPr>
            <w:tcW w:w="969" w:type="dxa"/>
            <w:tcBorders>
              <w:top w:val="nil"/>
              <w:left w:val="outset" w:color="auto" w:sz="6" w:space="0"/>
              <w:bottom w:val="outset" w:color="auto" w:sz="6" w:space="0"/>
              <w:right w:val="outset" w:color="auto" w:sz="6" w:space="0"/>
            </w:tcBorders>
            <w:vAlign w:val="center"/>
          </w:tcPr>
          <w:p w14:paraId="37C9138F">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0,222</w:t>
            </w:r>
          </w:p>
        </w:tc>
      </w:tr>
      <w:tr w14:paraId="1947E883">
        <w:tblPrEx>
          <w:tblCellMar>
            <w:top w:w="15" w:type="dxa"/>
            <w:left w:w="15" w:type="dxa"/>
            <w:bottom w:w="15" w:type="dxa"/>
            <w:right w:w="15" w:type="dxa"/>
          </w:tblCellMar>
        </w:tblPrEx>
        <w:tc>
          <w:tcPr>
            <w:tcW w:w="1812" w:type="dxa"/>
            <w:tcBorders>
              <w:top w:val="nil"/>
              <w:left w:val="outset" w:color="auto" w:sz="6" w:space="0"/>
              <w:bottom w:val="outset" w:color="auto" w:sz="6" w:space="0"/>
              <w:right w:val="outset" w:color="auto" w:sz="6" w:space="0"/>
            </w:tcBorders>
          </w:tcPr>
          <w:p w14:paraId="79ED4E9A">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Гестациялық мерзіміне кішкентай ұрық</w:t>
            </w:r>
          </w:p>
        </w:tc>
        <w:tc>
          <w:tcPr>
            <w:tcW w:w="711" w:type="dxa"/>
            <w:tcBorders>
              <w:top w:val="nil"/>
              <w:left w:val="outset" w:color="auto" w:sz="6" w:space="0"/>
              <w:bottom w:val="outset" w:color="auto" w:sz="6" w:space="0"/>
              <w:right w:val="outset" w:color="auto" w:sz="6" w:space="0"/>
            </w:tcBorders>
          </w:tcPr>
          <w:p w14:paraId="1FED74CA">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93,02</w:t>
            </w:r>
          </w:p>
          <w:p w14:paraId="73A6332F">
            <w:pPr>
              <w:widowControl w:val="0"/>
              <w:autoSpaceDE w:val="0"/>
              <w:autoSpaceDN w:val="0"/>
              <w:spacing w:after="0" w:line="276" w:lineRule="auto"/>
              <w:jc w:val="both"/>
              <w:outlineLvl w:val="0"/>
              <w:rPr>
                <w:rFonts w:ascii="Times New Roman" w:hAnsi="Times New Roman" w:eastAsia="Times New Roman" w:cs="Times New Roman"/>
                <w:sz w:val="28"/>
                <w:szCs w:val="28"/>
              </w:rPr>
            </w:pPr>
          </w:p>
        </w:tc>
        <w:tc>
          <w:tcPr>
            <w:tcW w:w="704" w:type="dxa"/>
            <w:tcBorders>
              <w:top w:val="nil"/>
              <w:left w:val="outset" w:color="auto" w:sz="6" w:space="0"/>
              <w:bottom w:val="outset" w:color="auto" w:sz="6" w:space="0"/>
              <w:right w:val="outset" w:color="auto" w:sz="6" w:space="0"/>
            </w:tcBorders>
          </w:tcPr>
          <w:p w14:paraId="4A068F0E">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6,98</w:t>
            </w:r>
          </w:p>
        </w:tc>
        <w:tc>
          <w:tcPr>
            <w:tcW w:w="703" w:type="dxa"/>
            <w:tcBorders>
              <w:top w:val="nil"/>
              <w:left w:val="outset" w:color="auto" w:sz="6" w:space="0"/>
              <w:bottom w:val="outset" w:color="auto" w:sz="6" w:space="0"/>
              <w:right w:val="outset" w:color="auto" w:sz="6" w:space="0"/>
            </w:tcBorders>
          </w:tcPr>
          <w:p w14:paraId="78AAE506">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95,00</w:t>
            </w:r>
          </w:p>
          <w:p w14:paraId="4F210852">
            <w:pPr>
              <w:widowControl w:val="0"/>
              <w:autoSpaceDE w:val="0"/>
              <w:autoSpaceDN w:val="0"/>
              <w:spacing w:after="0" w:line="276" w:lineRule="auto"/>
              <w:jc w:val="both"/>
              <w:outlineLvl w:val="0"/>
              <w:rPr>
                <w:rFonts w:ascii="Times New Roman" w:hAnsi="Times New Roman" w:eastAsia="Times New Roman" w:cs="Times New Roman"/>
                <w:sz w:val="28"/>
                <w:szCs w:val="28"/>
              </w:rPr>
            </w:pPr>
          </w:p>
        </w:tc>
        <w:tc>
          <w:tcPr>
            <w:tcW w:w="835" w:type="dxa"/>
            <w:tcBorders>
              <w:top w:val="nil"/>
              <w:left w:val="outset" w:color="auto" w:sz="6" w:space="0"/>
              <w:bottom w:val="outset" w:color="auto" w:sz="6" w:space="0"/>
              <w:right w:val="outset" w:color="auto" w:sz="6" w:space="0"/>
            </w:tcBorders>
          </w:tcPr>
          <w:p w14:paraId="4149166B">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5,00</w:t>
            </w:r>
          </w:p>
        </w:tc>
        <w:tc>
          <w:tcPr>
            <w:tcW w:w="703" w:type="dxa"/>
            <w:tcBorders>
              <w:top w:val="nil"/>
              <w:left w:val="outset" w:color="auto" w:sz="6" w:space="0"/>
              <w:bottom w:val="outset" w:color="auto" w:sz="6" w:space="0"/>
              <w:right w:val="outset" w:color="auto" w:sz="6" w:space="0"/>
            </w:tcBorders>
          </w:tcPr>
          <w:p w14:paraId="2BEDDE8A">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97,37</w:t>
            </w:r>
          </w:p>
          <w:p w14:paraId="5F7F1B8A">
            <w:pPr>
              <w:widowControl w:val="0"/>
              <w:autoSpaceDE w:val="0"/>
              <w:autoSpaceDN w:val="0"/>
              <w:spacing w:after="0" w:line="276" w:lineRule="auto"/>
              <w:jc w:val="both"/>
              <w:outlineLvl w:val="0"/>
              <w:rPr>
                <w:rFonts w:ascii="Times New Roman" w:hAnsi="Times New Roman" w:eastAsia="Times New Roman" w:cs="Times New Roman"/>
                <w:sz w:val="28"/>
                <w:szCs w:val="28"/>
              </w:rPr>
            </w:pPr>
          </w:p>
        </w:tc>
        <w:tc>
          <w:tcPr>
            <w:tcW w:w="706" w:type="dxa"/>
            <w:tcBorders>
              <w:top w:val="nil"/>
              <w:left w:val="outset" w:color="auto" w:sz="6" w:space="0"/>
              <w:bottom w:val="outset" w:color="auto" w:sz="6" w:space="0"/>
              <w:right w:val="outset" w:color="auto" w:sz="6" w:space="0"/>
            </w:tcBorders>
          </w:tcPr>
          <w:p w14:paraId="2A505AF2">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2,63</w:t>
            </w:r>
          </w:p>
        </w:tc>
        <w:tc>
          <w:tcPr>
            <w:tcW w:w="703" w:type="dxa"/>
            <w:tcBorders>
              <w:top w:val="nil"/>
              <w:left w:val="outset" w:color="auto" w:sz="6" w:space="0"/>
              <w:bottom w:val="outset" w:color="auto" w:sz="6" w:space="0"/>
              <w:right w:val="outset" w:color="auto" w:sz="6" w:space="0"/>
            </w:tcBorders>
          </w:tcPr>
          <w:p w14:paraId="67BDB946">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100,0</w:t>
            </w:r>
          </w:p>
          <w:p w14:paraId="74799794">
            <w:pPr>
              <w:widowControl w:val="0"/>
              <w:autoSpaceDE w:val="0"/>
              <w:autoSpaceDN w:val="0"/>
              <w:spacing w:after="0" w:line="276" w:lineRule="auto"/>
              <w:jc w:val="both"/>
              <w:outlineLvl w:val="0"/>
              <w:rPr>
                <w:rFonts w:ascii="Times New Roman" w:hAnsi="Times New Roman" w:eastAsia="Times New Roman" w:cs="Times New Roman"/>
                <w:sz w:val="28"/>
                <w:szCs w:val="28"/>
              </w:rPr>
            </w:pPr>
          </w:p>
        </w:tc>
        <w:tc>
          <w:tcPr>
            <w:tcW w:w="706" w:type="dxa"/>
            <w:tcBorders>
              <w:top w:val="nil"/>
              <w:left w:val="outset" w:color="auto" w:sz="6" w:space="0"/>
              <w:bottom w:val="outset" w:color="auto" w:sz="6" w:space="0"/>
              <w:right w:val="outset" w:color="auto" w:sz="6" w:space="0"/>
            </w:tcBorders>
          </w:tcPr>
          <w:p w14:paraId="77B91135">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0,0</w:t>
            </w:r>
          </w:p>
        </w:tc>
        <w:tc>
          <w:tcPr>
            <w:tcW w:w="833" w:type="dxa"/>
            <w:tcBorders>
              <w:top w:val="nil"/>
              <w:left w:val="outset" w:color="auto" w:sz="6" w:space="0"/>
              <w:bottom w:val="outset" w:color="auto" w:sz="6" w:space="0"/>
              <w:right w:val="outset" w:color="auto" w:sz="6" w:space="0"/>
            </w:tcBorders>
            <w:vAlign w:val="center"/>
          </w:tcPr>
          <w:p w14:paraId="11D6159E">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2,893</w:t>
            </w:r>
          </w:p>
        </w:tc>
        <w:tc>
          <w:tcPr>
            <w:tcW w:w="969" w:type="dxa"/>
            <w:tcBorders>
              <w:top w:val="nil"/>
              <w:left w:val="outset" w:color="auto" w:sz="6" w:space="0"/>
              <w:bottom w:val="outset" w:color="auto" w:sz="6" w:space="0"/>
              <w:right w:val="outset" w:color="auto" w:sz="6" w:space="0"/>
            </w:tcBorders>
            <w:vAlign w:val="center"/>
          </w:tcPr>
          <w:p w14:paraId="5D080F82">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0,408</w:t>
            </w:r>
          </w:p>
        </w:tc>
      </w:tr>
      <w:tr w14:paraId="6E4118BF">
        <w:tblPrEx>
          <w:tblCellMar>
            <w:top w:w="15" w:type="dxa"/>
            <w:left w:w="15" w:type="dxa"/>
            <w:bottom w:w="15" w:type="dxa"/>
            <w:right w:w="15" w:type="dxa"/>
          </w:tblCellMar>
        </w:tblPrEx>
        <w:tc>
          <w:tcPr>
            <w:tcW w:w="1812" w:type="dxa"/>
            <w:tcBorders>
              <w:top w:val="nil"/>
              <w:left w:val="outset" w:color="auto" w:sz="6" w:space="0"/>
              <w:bottom w:val="outset" w:color="auto" w:sz="6" w:space="0"/>
              <w:right w:val="outset" w:color="auto" w:sz="6" w:space="0"/>
            </w:tcBorders>
          </w:tcPr>
          <w:p w14:paraId="76AFADD9">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Ірі ұрық</w:t>
            </w:r>
          </w:p>
        </w:tc>
        <w:tc>
          <w:tcPr>
            <w:tcW w:w="711" w:type="dxa"/>
            <w:tcBorders>
              <w:top w:val="nil"/>
              <w:left w:val="outset" w:color="auto" w:sz="6" w:space="0"/>
              <w:bottom w:val="outset" w:color="auto" w:sz="6" w:space="0"/>
              <w:right w:val="outset" w:color="auto" w:sz="6" w:space="0"/>
            </w:tcBorders>
          </w:tcPr>
          <w:p w14:paraId="4CAD49E1">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100,0</w:t>
            </w:r>
          </w:p>
          <w:p w14:paraId="2EF813E2">
            <w:pPr>
              <w:widowControl w:val="0"/>
              <w:autoSpaceDE w:val="0"/>
              <w:autoSpaceDN w:val="0"/>
              <w:spacing w:after="0" w:line="276" w:lineRule="auto"/>
              <w:jc w:val="both"/>
              <w:outlineLvl w:val="0"/>
              <w:rPr>
                <w:rFonts w:ascii="Times New Roman" w:hAnsi="Times New Roman" w:eastAsia="Times New Roman" w:cs="Times New Roman"/>
                <w:sz w:val="28"/>
                <w:szCs w:val="28"/>
              </w:rPr>
            </w:pPr>
          </w:p>
        </w:tc>
        <w:tc>
          <w:tcPr>
            <w:tcW w:w="704" w:type="dxa"/>
            <w:tcBorders>
              <w:top w:val="nil"/>
              <w:left w:val="outset" w:color="auto" w:sz="6" w:space="0"/>
              <w:bottom w:val="outset" w:color="auto" w:sz="6" w:space="0"/>
              <w:right w:val="outset" w:color="auto" w:sz="6" w:space="0"/>
            </w:tcBorders>
          </w:tcPr>
          <w:p w14:paraId="7E1F8217">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0,0</w:t>
            </w:r>
          </w:p>
        </w:tc>
        <w:tc>
          <w:tcPr>
            <w:tcW w:w="703" w:type="dxa"/>
            <w:tcBorders>
              <w:top w:val="nil"/>
              <w:left w:val="outset" w:color="auto" w:sz="6" w:space="0"/>
              <w:bottom w:val="outset" w:color="auto" w:sz="6" w:space="0"/>
              <w:right w:val="outset" w:color="auto" w:sz="6" w:space="0"/>
            </w:tcBorders>
          </w:tcPr>
          <w:p w14:paraId="19CEA704">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87,50</w:t>
            </w:r>
          </w:p>
          <w:p w14:paraId="27EA0545">
            <w:pPr>
              <w:widowControl w:val="0"/>
              <w:autoSpaceDE w:val="0"/>
              <w:autoSpaceDN w:val="0"/>
              <w:spacing w:after="0" w:line="276" w:lineRule="auto"/>
              <w:jc w:val="both"/>
              <w:outlineLvl w:val="0"/>
              <w:rPr>
                <w:rFonts w:ascii="Times New Roman" w:hAnsi="Times New Roman" w:eastAsia="Times New Roman" w:cs="Times New Roman"/>
                <w:sz w:val="28"/>
                <w:szCs w:val="28"/>
              </w:rPr>
            </w:pPr>
          </w:p>
        </w:tc>
        <w:tc>
          <w:tcPr>
            <w:tcW w:w="835" w:type="dxa"/>
            <w:tcBorders>
              <w:top w:val="nil"/>
              <w:left w:val="outset" w:color="auto" w:sz="6" w:space="0"/>
              <w:bottom w:val="outset" w:color="auto" w:sz="6" w:space="0"/>
              <w:right w:val="outset" w:color="auto" w:sz="6" w:space="0"/>
            </w:tcBorders>
          </w:tcPr>
          <w:p w14:paraId="57D8E01D">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12,50</w:t>
            </w:r>
          </w:p>
        </w:tc>
        <w:tc>
          <w:tcPr>
            <w:tcW w:w="703" w:type="dxa"/>
            <w:tcBorders>
              <w:top w:val="nil"/>
              <w:left w:val="outset" w:color="auto" w:sz="6" w:space="0"/>
              <w:bottom w:val="outset" w:color="auto" w:sz="6" w:space="0"/>
              <w:right w:val="outset" w:color="auto" w:sz="6" w:space="0"/>
            </w:tcBorders>
          </w:tcPr>
          <w:p w14:paraId="361A8D48">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81,58</w:t>
            </w:r>
          </w:p>
          <w:p w14:paraId="33AAC758">
            <w:pPr>
              <w:widowControl w:val="0"/>
              <w:autoSpaceDE w:val="0"/>
              <w:autoSpaceDN w:val="0"/>
              <w:spacing w:after="0" w:line="276" w:lineRule="auto"/>
              <w:jc w:val="both"/>
              <w:outlineLvl w:val="0"/>
              <w:rPr>
                <w:rFonts w:ascii="Times New Roman" w:hAnsi="Times New Roman" w:eastAsia="Times New Roman" w:cs="Times New Roman"/>
                <w:sz w:val="28"/>
                <w:szCs w:val="28"/>
              </w:rPr>
            </w:pPr>
          </w:p>
        </w:tc>
        <w:tc>
          <w:tcPr>
            <w:tcW w:w="706" w:type="dxa"/>
            <w:tcBorders>
              <w:top w:val="nil"/>
              <w:left w:val="outset" w:color="auto" w:sz="6" w:space="0"/>
              <w:bottom w:val="outset" w:color="auto" w:sz="6" w:space="0"/>
              <w:right w:val="outset" w:color="auto" w:sz="6" w:space="0"/>
            </w:tcBorders>
          </w:tcPr>
          <w:p w14:paraId="39AE39AF">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18,42</w:t>
            </w:r>
          </w:p>
        </w:tc>
        <w:tc>
          <w:tcPr>
            <w:tcW w:w="703" w:type="dxa"/>
            <w:tcBorders>
              <w:top w:val="nil"/>
              <w:left w:val="outset" w:color="auto" w:sz="6" w:space="0"/>
              <w:bottom w:val="outset" w:color="auto" w:sz="6" w:space="0"/>
              <w:right w:val="outset" w:color="auto" w:sz="6" w:space="0"/>
            </w:tcBorders>
          </w:tcPr>
          <w:p w14:paraId="6BE7C9AF">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88,89</w:t>
            </w:r>
          </w:p>
          <w:p w14:paraId="363139FB">
            <w:pPr>
              <w:widowControl w:val="0"/>
              <w:autoSpaceDE w:val="0"/>
              <w:autoSpaceDN w:val="0"/>
              <w:spacing w:after="0" w:line="276" w:lineRule="auto"/>
              <w:jc w:val="both"/>
              <w:outlineLvl w:val="0"/>
              <w:rPr>
                <w:rFonts w:ascii="Times New Roman" w:hAnsi="Times New Roman" w:eastAsia="Times New Roman" w:cs="Times New Roman"/>
                <w:sz w:val="28"/>
                <w:szCs w:val="28"/>
              </w:rPr>
            </w:pPr>
          </w:p>
        </w:tc>
        <w:tc>
          <w:tcPr>
            <w:tcW w:w="706" w:type="dxa"/>
            <w:tcBorders>
              <w:top w:val="nil"/>
              <w:left w:val="outset" w:color="auto" w:sz="6" w:space="0"/>
              <w:bottom w:val="outset" w:color="auto" w:sz="6" w:space="0"/>
              <w:right w:val="outset" w:color="auto" w:sz="6" w:space="0"/>
            </w:tcBorders>
          </w:tcPr>
          <w:p w14:paraId="198A3252">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11,11</w:t>
            </w:r>
          </w:p>
        </w:tc>
        <w:tc>
          <w:tcPr>
            <w:tcW w:w="833" w:type="dxa"/>
            <w:tcBorders>
              <w:top w:val="nil"/>
              <w:left w:val="outset" w:color="auto" w:sz="6" w:space="0"/>
              <w:bottom w:val="outset" w:color="auto" w:sz="6" w:space="0"/>
              <w:right w:val="outset" w:color="auto" w:sz="6" w:space="0"/>
            </w:tcBorders>
            <w:vAlign w:val="center"/>
          </w:tcPr>
          <w:p w14:paraId="65B928FC">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7,958</w:t>
            </w:r>
          </w:p>
        </w:tc>
        <w:tc>
          <w:tcPr>
            <w:tcW w:w="969" w:type="dxa"/>
            <w:tcBorders>
              <w:top w:val="nil"/>
              <w:left w:val="outset" w:color="auto" w:sz="6" w:space="0"/>
              <w:bottom w:val="outset" w:color="auto" w:sz="6" w:space="0"/>
              <w:right w:val="outset" w:color="auto" w:sz="6" w:space="0"/>
            </w:tcBorders>
            <w:vAlign w:val="center"/>
          </w:tcPr>
          <w:p w14:paraId="0B664A67">
            <w:pPr>
              <w:widowControl w:val="0"/>
              <w:autoSpaceDE w:val="0"/>
              <w:autoSpaceDN w:val="0"/>
              <w:spacing w:after="0" w:line="276" w:lineRule="auto"/>
              <w:jc w:val="both"/>
              <w:outlineLvl w:val="0"/>
              <w:rPr>
                <w:rFonts w:ascii="Times New Roman" w:hAnsi="Times New Roman" w:eastAsia="Times New Roman" w:cs="Times New Roman"/>
                <w:b/>
                <w:sz w:val="28"/>
                <w:szCs w:val="28"/>
              </w:rPr>
            </w:pPr>
            <w:r>
              <w:rPr>
                <w:rFonts w:ascii="Times New Roman" w:hAnsi="Times New Roman" w:eastAsia="Times New Roman" w:cs="Times New Roman"/>
                <w:b/>
                <w:sz w:val="28"/>
                <w:szCs w:val="28"/>
              </w:rPr>
              <w:t>0,0469</w:t>
            </w:r>
            <w:r>
              <w:rPr>
                <w:rFonts w:ascii="Times New Roman" w:hAnsi="Times New Roman" w:eastAsia="Times New Roman" w:cs="Times New Roman"/>
                <w:b/>
                <w:bCs/>
                <w:sz w:val="28"/>
                <w:szCs w:val="28"/>
              </w:rPr>
              <w:t>*</w:t>
            </w:r>
          </w:p>
        </w:tc>
      </w:tr>
      <w:tr w14:paraId="292F31F8">
        <w:tblPrEx>
          <w:tblCellMar>
            <w:top w:w="15" w:type="dxa"/>
            <w:left w:w="15" w:type="dxa"/>
            <w:bottom w:w="15" w:type="dxa"/>
            <w:right w:w="15" w:type="dxa"/>
          </w:tblCellMar>
        </w:tblPrEx>
        <w:tc>
          <w:tcPr>
            <w:tcW w:w="1812" w:type="dxa"/>
            <w:tcBorders>
              <w:top w:val="nil"/>
              <w:left w:val="outset" w:color="auto" w:sz="6" w:space="0"/>
              <w:bottom w:val="outset" w:color="auto" w:sz="6" w:space="0"/>
              <w:right w:val="outset" w:color="auto" w:sz="6" w:space="0"/>
            </w:tcBorders>
          </w:tcPr>
          <w:p w14:paraId="525F5497">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Апгар шкаласы бойынша  7баллдан аз болуы</w:t>
            </w:r>
          </w:p>
        </w:tc>
        <w:tc>
          <w:tcPr>
            <w:tcW w:w="711" w:type="dxa"/>
            <w:tcBorders>
              <w:top w:val="nil"/>
              <w:left w:val="outset" w:color="auto" w:sz="6" w:space="0"/>
              <w:bottom w:val="outset" w:color="auto" w:sz="6" w:space="0"/>
              <w:right w:val="outset" w:color="auto" w:sz="6" w:space="0"/>
            </w:tcBorders>
          </w:tcPr>
          <w:p w14:paraId="2E3D12C7">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97,67</w:t>
            </w:r>
          </w:p>
          <w:p w14:paraId="780621AC">
            <w:pPr>
              <w:widowControl w:val="0"/>
              <w:autoSpaceDE w:val="0"/>
              <w:autoSpaceDN w:val="0"/>
              <w:spacing w:after="0" w:line="276" w:lineRule="auto"/>
              <w:jc w:val="both"/>
              <w:outlineLvl w:val="0"/>
              <w:rPr>
                <w:rFonts w:ascii="Times New Roman" w:hAnsi="Times New Roman" w:eastAsia="Times New Roman" w:cs="Times New Roman"/>
                <w:sz w:val="28"/>
                <w:szCs w:val="28"/>
              </w:rPr>
            </w:pPr>
          </w:p>
        </w:tc>
        <w:tc>
          <w:tcPr>
            <w:tcW w:w="704" w:type="dxa"/>
            <w:tcBorders>
              <w:top w:val="nil"/>
              <w:left w:val="outset" w:color="auto" w:sz="6" w:space="0"/>
              <w:bottom w:val="outset" w:color="auto" w:sz="6" w:space="0"/>
              <w:right w:val="outset" w:color="auto" w:sz="6" w:space="0"/>
            </w:tcBorders>
          </w:tcPr>
          <w:p w14:paraId="1E46CB55">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2,33</w:t>
            </w:r>
          </w:p>
        </w:tc>
        <w:tc>
          <w:tcPr>
            <w:tcW w:w="703" w:type="dxa"/>
            <w:tcBorders>
              <w:top w:val="nil"/>
              <w:left w:val="outset" w:color="auto" w:sz="6" w:space="0"/>
              <w:bottom w:val="outset" w:color="auto" w:sz="6" w:space="0"/>
              <w:right w:val="outset" w:color="auto" w:sz="6" w:space="0"/>
            </w:tcBorders>
          </w:tcPr>
          <w:p w14:paraId="1CF33B7F">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100,0</w:t>
            </w:r>
          </w:p>
          <w:p w14:paraId="3A3E32C8">
            <w:pPr>
              <w:widowControl w:val="0"/>
              <w:autoSpaceDE w:val="0"/>
              <w:autoSpaceDN w:val="0"/>
              <w:spacing w:after="0" w:line="276" w:lineRule="auto"/>
              <w:jc w:val="both"/>
              <w:outlineLvl w:val="0"/>
              <w:rPr>
                <w:rFonts w:ascii="Times New Roman" w:hAnsi="Times New Roman" w:eastAsia="Times New Roman" w:cs="Times New Roman"/>
                <w:sz w:val="28"/>
                <w:szCs w:val="28"/>
              </w:rPr>
            </w:pPr>
          </w:p>
        </w:tc>
        <w:tc>
          <w:tcPr>
            <w:tcW w:w="835" w:type="dxa"/>
            <w:tcBorders>
              <w:top w:val="nil"/>
              <w:left w:val="outset" w:color="auto" w:sz="6" w:space="0"/>
              <w:bottom w:val="outset" w:color="auto" w:sz="6" w:space="0"/>
              <w:right w:val="outset" w:color="auto" w:sz="6" w:space="0"/>
            </w:tcBorders>
          </w:tcPr>
          <w:p w14:paraId="7F2EEC9B">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0,0</w:t>
            </w:r>
          </w:p>
        </w:tc>
        <w:tc>
          <w:tcPr>
            <w:tcW w:w="703" w:type="dxa"/>
            <w:tcBorders>
              <w:top w:val="nil"/>
              <w:left w:val="outset" w:color="auto" w:sz="6" w:space="0"/>
              <w:bottom w:val="outset" w:color="auto" w:sz="6" w:space="0"/>
              <w:right w:val="outset" w:color="auto" w:sz="6" w:space="0"/>
            </w:tcBorders>
          </w:tcPr>
          <w:p w14:paraId="4638013A">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84,21</w:t>
            </w:r>
          </w:p>
          <w:p w14:paraId="6D93DEEA">
            <w:pPr>
              <w:widowControl w:val="0"/>
              <w:autoSpaceDE w:val="0"/>
              <w:autoSpaceDN w:val="0"/>
              <w:spacing w:after="0" w:line="276" w:lineRule="auto"/>
              <w:jc w:val="both"/>
              <w:outlineLvl w:val="0"/>
              <w:rPr>
                <w:rFonts w:ascii="Times New Roman" w:hAnsi="Times New Roman" w:eastAsia="Times New Roman" w:cs="Times New Roman"/>
                <w:sz w:val="28"/>
                <w:szCs w:val="28"/>
              </w:rPr>
            </w:pPr>
          </w:p>
        </w:tc>
        <w:tc>
          <w:tcPr>
            <w:tcW w:w="706" w:type="dxa"/>
            <w:tcBorders>
              <w:top w:val="nil"/>
              <w:left w:val="outset" w:color="auto" w:sz="6" w:space="0"/>
              <w:bottom w:val="outset" w:color="auto" w:sz="6" w:space="0"/>
              <w:right w:val="outset" w:color="auto" w:sz="6" w:space="0"/>
            </w:tcBorders>
          </w:tcPr>
          <w:p w14:paraId="5CDBB6D6">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15,79</w:t>
            </w:r>
          </w:p>
        </w:tc>
        <w:tc>
          <w:tcPr>
            <w:tcW w:w="703" w:type="dxa"/>
            <w:tcBorders>
              <w:top w:val="nil"/>
              <w:left w:val="outset" w:color="auto" w:sz="6" w:space="0"/>
              <w:bottom w:val="outset" w:color="auto" w:sz="6" w:space="0"/>
              <w:right w:val="outset" w:color="auto" w:sz="6" w:space="0"/>
            </w:tcBorders>
          </w:tcPr>
          <w:p w14:paraId="74020515">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86,11</w:t>
            </w:r>
          </w:p>
          <w:p w14:paraId="0C89F290">
            <w:pPr>
              <w:widowControl w:val="0"/>
              <w:autoSpaceDE w:val="0"/>
              <w:autoSpaceDN w:val="0"/>
              <w:spacing w:after="0" w:line="276" w:lineRule="auto"/>
              <w:jc w:val="both"/>
              <w:outlineLvl w:val="0"/>
              <w:rPr>
                <w:rFonts w:ascii="Times New Roman" w:hAnsi="Times New Roman" w:eastAsia="Times New Roman" w:cs="Times New Roman"/>
                <w:sz w:val="28"/>
                <w:szCs w:val="28"/>
              </w:rPr>
            </w:pPr>
          </w:p>
        </w:tc>
        <w:tc>
          <w:tcPr>
            <w:tcW w:w="706" w:type="dxa"/>
            <w:tcBorders>
              <w:top w:val="nil"/>
              <w:left w:val="outset" w:color="auto" w:sz="6" w:space="0"/>
              <w:bottom w:val="outset" w:color="auto" w:sz="6" w:space="0"/>
              <w:right w:val="outset" w:color="auto" w:sz="6" w:space="0"/>
            </w:tcBorders>
          </w:tcPr>
          <w:p w14:paraId="232B4293">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13,89</w:t>
            </w:r>
          </w:p>
        </w:tc>
        <w:tc>
          <w:tcPr>
            <w:tcW w:w="833" w:type="dxa"/>
            <w:tcBorders>
              <w:top w:val="nil"/>
              <w:left w:val="outset" w:color="auto" w:sz="6" w:space="0"/>
              <w:bottom w:val="outset" w:color="auto" w:sz="6" w:space="0"/>
              <w:right w:val="outset" w:color="auto" w:sz="6" w:space="0"/>
            </w:tcBorders>
            <w:vAlign w:val="center"/>
          </w:tcPr>
          <w:p w14:paraId="4DA5C716">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10,594</w:t>
            </w:r>
          </w:p>
        </w:tc>
        <w:tc>
          <w:tcPr>
            <w:tcW w:w="969" w:type="dxa"/>
            <w:tcBorders>
              <w:top w:val="nil"/>
              <w:left w:val="outset" w:color="auto" w:sz="6" w:space="0"/>
              <w:bottom w:val="outset" w:color="auto" w:sz="6" w:space="0"/>
              <w:right w:val="outset" w:color="auto" w:sz="6" w:space="0"/>
            </w:tcBorders>
            <w:vAlign w:val="center"/>
          </w:tcPr>
          <w:p w14:paraId="6BD36DFB">
            <w:pPr>
              <w:widowControl w:val="0"/>
              <w:autoSpaceDE w:val="0"/>
              <w:autoSpaceDN w:val="0"/>
              <w:spacing w:after="0" w:line="276" w:lineRule="auto"/>
              <w:jc w:val="both"/>
              <w:outlineLvl w:val="0"/>
              <w:rPr>
                <w:rFonts w:ascii="Times New Roman" w:hAnsi="Times New Roman" w:eastAsia="Times New Roman" w:cs="Times New Roman"/>
                <w:b/>
                <w:sz w:val="28"/>
                <w:szCs w:val="28"/>
              </w:rPr>
            </w:pPr>
            <w:r>
              <w:rPr>
                <w:rFonts w:ascii="Times New Roman" w:hAnsi="Times New Roman" w:eastAsia="Times New Roman" w:cs="Times New Roman"/>
                <w:b/>
                <w:sz w:val="28"/>
                <w:szCs w:val="28"/>
              </w:rPr>
              <w:t>0,0141</w:t>
            </w:r>
            <w:r>
              <w:rPr>
                <w:rFonts w:ascii="Times New Roman" w:hAnsi="Times New Roman" w:eastAsia="Times New Roman" w:cs="Times New Roman"/>
                <w:b/>
                <w:bCs/>
                <w:sz w:val="28"/>
                <w:szCs w:val="28"/>
              </w:rPr>
              <w:t>*</w:t>
            </w:r>
          </w:p>
        </w:tc>
      </w:tr>
      <w:tr w14:paraId="3B992792">
        <w:tblPrEx>
          <w:tblCellMar>
            <w:top w:w="15" w:type="dxa"/>
            <w:left w:w="15" w:type="dxa"/>
            <w:bottom w:w="15" w:type="dxa"/>
            <w:right w:w="15" w:type="dxa"/>
          </w:tblCellMar>
        </w:tblPrEx>
        <w:tc>
          <w:tcPr>
            <w:tcW w:w="9385" w:type="dxa"/>
            <w:gridSpan w:val="11"/>
            <w:tcBorders>
              <w:top w:val="nil"/>
              <w:left w:val="outset" w:color="auto" w:sz="6" w:space="0"/>
              <w:bottom w:val="outset" w:color="auto" w:sz="6" w:space="0"/>
              <w:right w:val="outset" w:color="auto" w:sz="6" w:space="0"/>
            </w:tcBorders>
          </w:tcPr>
          <w:p w14:paraId="129CAD45">
            <w:pPr>
              <w:widowControl w:val="0"/>
              <w:autoSpaceDE w:val="0"/>
              <w:autoSpaceDN w:val="0"/>
              <w:spacing w:after="0" w:line="276" w:lineRule="auto"/>
              <w:jc w:val="both"/>
              <w:outlineLvl w:val="0"/>
              <w:rPr>
                <w:rFonts w:ascii="Times New Roman" w:hAnsi="Times New Roman" w:eastAsia="Times New Roman" w:cs="Times New Roman"/>
                <w:i/>
                <w:sz w:val="28"/>
                <w:szCs w:val="28"/>
              </w:rPr>
            </w:pPr>
            <w:r>
              <w:rPr>
                <w:rFonts w:ascii="Times New Roman" w:hAnsi="Times New Roman" w:eastAsia="Times New Roman" w:cs="Times New Roman"/>
                <w:sz w:val="28"/>
                <w:szCs w:val="28"/>
              </w:rPr>
              <w:t>*–</w:t>
            </w:r>
            <w:r>
              <w:rPr>
                <w:rFonts w:ascii="Times New Roman" w:hAnsi="Times New Roman" w:eastAsia="Times New Roman" w:cs="Times New Roman"/>
                <w:sz w:val="28"/>
                <w:szCs w:val="28"/>
              </w:rPr>
              <w:tab/>
            </w:r>
            <w:r>
              <w:rPr>
                <w:rFonts w:ascii="Times New Roman" w:hAnsi="Times New Roman" w:eastAsia="Times New Roman" w:cs="Times New Roman"/>
                <w:i/>
                <w:iCs/>
                <w:sz w:val="28"/>
                <w:szCs w:val="28"/>
              </w:rPr>
              <w:t>Пирсонның Хи–квадрат</w:t>
            </w:r>
            <w:r>
              <w:rPr>
                <w:rFonts w:ascii="Times New Roman" w:hAnsi="Times New Roman" w:eastAsia="Times New Roman" w:cs="Times New Roman"/>
                <w:i/>
                <w:sz w:val="28"/>
                <w:szCs w:val="28"/>
              </w:rPr>
              <w:t xml:space="preserve"> критерий</w:t>
            </w:r>
            <w:r>
              <w:rPr>
                <w:rFonts w:ascii="Times New Roman" w:hAnsi="Times New Roman" w:eastAsia="Times New Roman" w:cs="Times New Roman"/>
                <w:i/>
                <w:sz w:val="28"/>
                <w:szCs w:val="28"/>
              </w:rPr>
              <w:tab/>
            </w:r>
            <w:r>
              <w:rPr>
                <w:rFonts w:ascii="Times New Roman" w:hAnsi="Times New Roman" w:eastAsia="Times New Roman" w:cs="Times New Roman"/>
                <w:i/>
                <w:sz w:val="28"/>
                <w:szCs w:val="28"/>
              </w:rPr>
              <w:t>бойынша</w:t>
            </w:r>
          </w:p>
          <w:p w14:paraId="1FAFF00F">
            <w:pPr>
              <w:widowControl w:val="0"/>
              <w:autoSpaceDE w:val="0"/>
              <w:autoSpaceDN w:val="0"/>
              <w:spacing w:after="0" w:line="276" w:lineRule="auto"/>
              <w:jc w:val="both"/>
              <w:outlineLvl w:val="0"/>
              <w:rPr>
                <w:rFonts w:ascii="Times New Roman" w:hAnsi="Times New Roman" w:eastAsia="Times New Roman" w:cs="Times New Roman"/>
                <w:sz w:val="28"/>
                <w:szCs w:val="28"/>
              </w:rPr>
            </w:pPr>
            <w:r>
              <w:rPr>
                <w:rFonts w:ascii="Times New Roman" w:hAnsi="Times New Roman" w:eastAsia="Times New Roman" w:cs="Times New Roman"/>
                <w:i/>
                <w:sz w:val="28"/>
                <w:szCs w:val="28"/>
              </w:rPr>
              <w:t>айырмашылығы, көрсеткіштердің өзгеру растығы кезінде p &lt; 0.05</w:t>
            </w:r>
          </w:p>
        </w:tc>
      </w:tr>
    </w:tbl>
    <w:p w14:paraId="7D8FE7BF">
      <w:pPr>
        <w:widowControl w:val="0"/>
        <w:autoSpaceDE w:val="0"/>
        <w:autoSpaceDN w:val="0"/>
        <w:spacing w:after="0" w:line="276" w:lineRule="auto"/>
        <w:ind w:firstLine="709"/>
        <w:jc w:val="both"/>
        <w:outlineLvl w:val="0"/>
        <w:rPr>
          <w:rFonts w:ascii="Times New Roman" w:hAnsi="Times New Roman" w:eastAsia="Times New Roman" w:cs="Times New Roman"/>
          <w:b/>
          <w:bCs/>
          <w:sz w:val="28"/>
          <w:szCs w:val="28"/>
          <w:lang w:eastAsia="ru-RU"/>
        </w:rPr>
      </w:pPr>
      <w:r>
        <w:rPr>
          <w:rFonts w:ascii="Times New Roman" w:hAnsi="Times New Roman" w:eastAsia="Times New Roman" w:cs="Times New Roman"/>
          <w:b/>
          <w:bCs/>
          <w:sz w:val="28"/>
          <w:szCs w:val="28"/>
          <w:lang w:eastAsia="ru-RU"/>
        </w:rPr>
        <w:t xml:space="preserve"> </w:t>
      </w:r>
    </w:p>
    <w:p w14:paraId="14BA972E">
      <w:pPr>
        <w:widowControl w:val="0"/>
        <w:autoSpaceDE w:val="0"/>
        <w:autoSpaceDN w:val="0"/>
        <w:spacing w:after="0" w:line="276" w:lineRule="auto"/>
        <w:ind w:firstLine="709"/>
        <w:jc w:val="both"/>
        <w:outlineLvl w:val="0"/>
        <w:rPr>
          <w:rFonts w:ascii="Times New Roman" w:hAnsi="Times New Roman" w:eastAsia="Times New Roman" w:cs="Times New Roman"/>
          <w:b/>
          <w:bCs/>
          <w:sz w:val="28"/>
          <w:szCs w:val="28"/>
          <w:lang w:eastAsia="ru-RU"/>
        </w:rPr>
      </w:pPr>
      <w:r>
        <w:rPr>
          <w:rFonts w:ascii="Times New Roman" w:hAnsi="Times New Roman" w:eastAsia="Times New Roman" w:cs="Times New Roman"/>
          <w:sz w:val="28"/>
          <w:szCs w:val="28"/>
          <w:lang w:eastAsia="ru-RU"/>
        </w:rPr>
        <w:t>Бұл нәтижелер семіздігі бар жүкті әйелдерде босану барысы мен нәрестелік асқынулардың жиі кездесетінін көрсетеді. Айрықша атап өту керек, гестациялық диабет, гипертензия және иық дистоциясы сияқты асқынулардың жиілігі семіздік пен анемия бірлескен жағдайда едәуір артады. Сонымен қатар, нәрестелердің Апгар шкаласы бойынша 7 баллдан төмен баға алу жиілігінің жоғары болуы да осы топтардағы перинаталдық тәуекелдерді күшейтетінін көрсетеді.</w:t>
      </w:r>
    </w:p>
    <w:p w14:paraId="55467EE0">
      <w:pPr>
        <w:widowControl w:val="0"/>
        <w:autoSpaceDE w:val="0"/>
        <w:autoSpaceDN w:val="0"/>
        <w:spacing w:after="0" w:line="276" w:lineRule="auto"/>
        <w:ind w:firstLine="709"/>
        <w:jc w:val="both"/>
        <w:outlineLvl w:val="0"/>
        <w:rPr>
          <w:rFonts w:ascii="Times New Roman" w:hAnsi="Times New Roman" w:eastAsia="Times New Roman" w:cs="Times New Roman"/>
          <w:b/>
          <w:bCs/>
          <w:sz w:val="28"/>
          <w:szCs w:val="28"/>
          <w:lang w:eastAsia="ru-RU"/>
        </w:rPr>
      </w:pPr>
      <w:r>
        <w:rPr>
          <w:rFonts w:ascii="Times New Roman" w:hAnsi="Times New Roman" w:eastAsia="Times New Roman" w:cs="Times New Roman"/>
          <w:b/>
          <w:bCs/>
          <w:sz w:val="28"/>
          <w:szCs w:val="28"/>
          <w:lang w:eastAsia="ru-RU"/>
        </w:rPr>
        <w:t xml:space="preserve"> </w:t>
      </w:r>
    </w:p>
    <w:p w14:paraId="0C7E35F0">
      <w:pPr>
        <w:widowControl w:val="0"/>
        <w:autoSpaceDE w:val="0"/>
        <w:autoSpaceDN w:val="0"/>
        <w:spacing w:after="0" w:line="276" w:lineRule="auto"/>
        <w:ind w:firstLine="709"/>
        <w:jc w:val="both"/>
        <w:outlineLvl w:val="0"/>
        <w:rPr>
          <w:rFonts w:ascii="Times New Roman" w:hAnsi="Times New Roman" w:eastAsia="Times New Roman" w:cs="Times New Roman"/>
          <w:b/>
          <w:bCs/>
          <w:sz w:val="28"/>
          <w:szCs w:val="28"/>
          <w:lang w:eastAsia="ru-RU"/>
        </w:rPr>
      </w:pPr>
      <w:r>
        <w:rPr>
          <w:rFonts w:ascii="Times New Roman" w:hAnsi="Times New Roman" w:eastAsia="Times New Roman" w:cs="Times New Roman"/>
          <w:b/>
          <w:bCs/>
          <w:sz w:val="28"/>
          <w:szCs w:val="28"/>
          <w:lang w:eastAsia="ru-RU"/>
        </w:rPr>
        <w:t>3.5 Зерттеу көрсеткіштері арасындағы корреляциялық байланыстарды сипаттау</w:t>
      </w:r>
    </w:p>
    <w:p w14:paraId="60E7F481">
      <w:pPr>
        <w:widowControl w:val="0"/>
        <w:autoSpaceDE w:val="0"/>
        <w:autoSpaceDN w:val="0"/>
        <w:spacing w:after="0" w:line="276" w:lineRule="auto"/>
        <w:ind w:firstLine="709"/>
        <w:jc w:val="both"/>
        <w:outlineLvl w:val="0"/>
        <w:rPr>
          <w:rFonts w:ascii="Times New Roman" w:hAnsi="Times New Roman" w:eastAsia="Times New Roman" w:cs="Times New Roman"/>
          <w:b/>
          <w:bCs/>
          <w:sz w:val="28"/>
          <w:szCs w:val="28"/>
          <w:lang w:eastAsia="ru-RU"/>
        </w:rPr>
      </w:pPr>
      <w:r>
        <w:rPr>
          <w:rFonts w:ascii="Times New Roman" w:hAnsi="Times New Roman" w:eastAsia="Times New Roman" w:cs="Times New Roman"/>
          <w:b/>
          <w:bCs/>
          <w:sz w:val="28"/>
          <w:szCs w:val="28"/>
          <w:lang w:eastAsia="ru-RU"/>
        </w:rPr>
        <w:t xml:space="preserve"> </w:t>
      </w:r>
    </w:p>
    <w:p w14:paraId="3D9BDB2B">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Темір алмасу параметрлері, қабыну маркерлері және жүктемедегі әйелдердегі семіздік көрсеткіштері арасындағы өзара байланысты талдау үшін Спирмен рангілік корреляция коэффициентін пайдалана отырып, корреляциялық талдау жүргізілді. Бұл талдаудың мақсаты семіздік, қабыну маркерлерінің жоғары деңгейімен байланысты, жүктемедегі анемияның дамуына ықпал ететін темір алмасуын бұзатын гипотезаны тексеру болды. </w:t>
      </w:r>
    </w:p>
    <w:p w14:paraId="1F33E673">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Негізгі корреляциялық талдау нәтижелері бойынша гепсидин мен гемоглобин деңгейі арасында теріс байланыс анықталды (r = –0.407, p &lt; 0.01), бұл гепсидиннің организмдегі темірдің қолжетімділігіне әсер ететін гипотезаны растайды. Гепсидин деңгейінің жоғарылауы гемоглобин деңгейінің төмендеуімен байланысты, бұл темірдің қоймалардан босатылуын блоктаумен түсіндірілуі мүмкін. Бұл нәтиже қабыну аурулары бар адамдардағы анемия патогенезіндегі гепсидиннің рөлі туралы әдеби деректермен сәйкес келеді. Гепсидин мен ДСИ (r = 0.244, p &lt; 0.01) және гепсидин мен семіздік (r = 0.318, p &lt; 0.01) арасындағы оң корреляция, артық салмағы бар адамдарда гепсидин деңгейінің жоғары екенін растайды. Бұл деректер семіздік созылмалы қабынумен бірге жүретін гипотезаны қолдайды, бұл гепсидиннің жоғарылауына және тиісінше, темір алмасуының бұзылуына әкеледі. Ферритин мен гепсидин арасындағы теріс корреляция (r = –0.176, p &lt; 0.05) гепсидин деңгейінің жоғарылауы темірдің қорлардан босатылуын тежейтінін, бұл организмдегі қолжетімді темір деңгейінің төмендеуіне және тиісінше, анемияның даму қаупіне әкелетінін көрсетуі мүмкін. Сонымен қатар эритроциттер деңгейі мен анемияның болуы арасындағы маңызды теріс корреляция (r = –0.410, p &lt; 0.01) жүктемедегі әйелдерде эритроциттер санының төмендеуі мен гепсидин деңгейінің жоғарылауы анемияның бар екенін растайды.</w:t>
      </w:r>
    </w:p>
    <w:p w14:paraId="251C9DD9">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CРА мен </w:t>
      </w:r>
      <w:r>
        <w:rPr>
          <w:rFonts w:ascii="Times New Roman" w:hAnsi="Times New Roman" w:eastAsia="Times New Roman" w:cs="Times New Roman"/>
          <w:sz w:val="28"/>
          <w:szCs w:val="28"/>
          <w:lang w:val="kk-KZ" w:eastAsia="ru-RU"/>
        </w:rPr>
        <w:t>ИЛ</w:t>
      </w:r>
      <w:r>
        <w:rPr>
          <w:rFonts w:ascii="Times New Roman" w:hAnsi="Times New Roman" w:eastAsia="Times New Roman" w:cs="Times New Roman"/>
          <w:sz w:val="28"/>
          <w:szCs w:val="28"/>
          <w:lang w:eastAsia="ru-RU"/>
        </w:rPr>
        <w:t>–6 арасындағы күшті оң корреляция (r = 0.263, p &lt; 0.01) осы қабыну маркерлері арасындағы өзара әрекеттесуді көрсетеді. ИЛ–6, қабынуға қарсы цитокин болып, CРА өндірісін бауырда ынталандырады, бұл семіздігі бар жүкті әйелдерде жүйелі қабынуды көрсетеді. Бұл нәтиже семіздік кезінде анемия патогенезіндегі қабыну маркерлерінің рөлін растайды. ДСИ мен CРА деңгейлері (r = 0.394, p &lt; 0.01) және IL–6 (r = 0.561, p &lt; 0.01) арасындағы маңызды оң корреляциялар семіздік пен қабыну процестері арасындағы байланысты көрсетеді. Бұл жоғары ДСИ созылмалы қабынумен байланысты екенін растайды, бұл біздің семіздіктің анемия дамуына қабыну механизмдері арқылы байланысы туралы гипотезамызды қолдайды.</w:t>
      </w:r>
    </w:p>
    <w:p w14:paraId="55E06007">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Алынған деректер жүктемедегі семіздіктің анемияның дамуына қабыну механизмдері мен темір алмасуының бұзылуы арқылы байланысты екенін растайды. Қабыну маркерлерінің (CРА және ИЛ–6) жоғары деңгейлері гепсидин деңгейінің артуына әкеледі, бұл, өз кезегінде, гемоглобиннің түзілуі үшін темірдің қолжетімділігін шектейді. Бұл гепсидин мен гемоглобин деңгейі арасындағы теріс корреляцияны түсіндіреді.</w:t>
      </w:r>
    </w:p>
    <w:p w14:paraId="1BD0D05A">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CРА және ИЛ–6 деңгейлері арасындағы корреляция көрсетілген сурет –12 көрсетілген. Құрастырылған тренд сызығы мен регрессия теңдеуі y = 2.05 + 0.23x (мұнда y — ИЛ–6 деңгейі, ал x — CРА деңгейі) көрсеткендей, бұл көрсеткіштер арасында әлсіз оң корреляция бар.  </w:t>
      </w:r>
    </w:p>
    <w:p w14:paraId="34D5BE13">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p>
    <w:p w14:paraId="06E9AD48">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drawing>
          <wp:inline distT="0" distB="0" distL="0" distR="0">
            <wp:extent cx="5193030" cy="3606165"/>
            <wp:effectExtent l="0" t="0" r="7620" b="13335"/>
            <wp:docPr id="105" name="Рисунок 105" descr="C:\Users\kgmuuser\AppData\Local\Temp\ksohtml7396\wps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Рисунок 105" descr="C:\Users\kgmuuser\AppData\Local\Temp\ksohtml7396\wps21.p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a:xfrm>
                      <a:off x="0" y="0"/>
                      <a:ext cx="5193030" cy="3606165"/>
                    </a:xfrm>
                    <a:prstGeom prst="rect">
                      <a:avLst/>
                    </a:prstGeom>
                    <a:noFill/>
                    <a:ln>
                      <a:noFill/>
                    </a:ln>
                  </pic:spPr>
                </pic:pic>
              </a:graphicData>
            </a:graphic>
          </wp:inline>
        </w:drawing>
      </w:r>
      <w:r>
        <w:rPr>
          <w:rFonts w:ascii="Times New Roman" w:hAnsi="Times New Roman" w:eastAsia="Times New Roman" w:cs="Times New Roman"/>
          <w:sz w:val="28"/>
          <w:szCs w:val="28"/>
          <w:lang w:eastAsia="ru-RU"/>
        </w:rPr>
        <w:t xml:space="preserve"> </w:t>
      </w:r>
    </w:p>
    <w:p w14:paraId="4DA9567B">
      <w:pPr>
        <w:widowControl w:val="0"/>
        <w:autoSpaceDE w:val="0"/>
        <w:autoSpaceDN w:val="0"/>
        <w:spacing w:after="0" w:line="276" w:lineRule="auto"/>
        <w:ind w:firstLine="709"/>
        <w:jc w:val="both"/>
        <w:outlineLvl w:val="0"/>
        <w:rPr>
          <w:rFonts w:ascii="Times New Roman" w:hAnsi="Times New Roman" w:eastAsia="Times New Roman" w:cs="Times New Roman"/>
          <w:iCs/>
          <w:sz w:val="28"/>
          <w:szCs w:val="28"/>
          <w:lang w:eastAsia="ru-RU"/>
        </w:rPr>
      </w:pPr>
    </w:p>
    <w:p w14:paraId="746796C7">
      <w:pPr>
        <w:widowControl w:val="0"/>
        <w:autoSpaceDE w:val="0"/>
        <w:autoSpaceDN w:val="0"/>
        <w:spacing w:after="0" w:line="276" w:lineRule="auto"/>
        <w:ind w:firstLine="709"/>
        <w:jc w:val="both"/>
        <w:outlineLvl w:val="0"/>
        <w:rPr>
          <w:rFonts w:ascii="Times New Roman" w:hAnsi="Times New Roman" w:eastAsia="Times New Roman" w:cs="Times New Roman"/>
          <w:i/>
          <w:sz w:val="28"/>
          <w:szCs w:val="28"/>
          <w:lang w:eastAsia="ru-RU"/>
        </w:rPr>
      </w:pPr>
      <w:r>
        <w:rPr>
          <w:rFonts w:ascii="Times New Roman" w:hAnsi="Times New Roman" w:eastAsia="Times New Roman" w:cs="Times New Roman"/>
          <w:iCs/>
          <w:sz w:val="28"/>
          <w:szCs w:val="28"/>
          <w:lang w:eastAsia="ru-RU"/>
        </w:rPr>
        <w:t>Сурет – 12. CРА және ИЛ–6 көрсеткіштері арасындағы байланыс</w:t>
      </w:r>
      <w:r>
        <w:rPr>
          <w:rFonts w:ascii="Times New Roman" w:hAnsi="Times New Roman" w:eastAsia="Times New Roman" w:cs="Times New Roman"/>
          <w:i/>
          <w:sz w:val="28"/>
          <w:szCs w:val="28"/>
          <w:lang w:eastAsia="ru-RU"/>
        </w:rPr>
        <w:t xml:space="preserve"> </w:t>
      </w:r>
    </w:p>
    <w:p w14:paraId="4510584A">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p>
    <w:p w14:paraId="1F17DC70">
      <w:pPr>
        <w:widowControl w:val="0"/>
        <w:autoSpaceDE w:val="0"/>
        <w:autoSpaceDN w:val="0"/>
        <w:spacing w:after="0" w:line="276" w:lineRule="auto"/>
        <w:ind w:firstLine="709"/>
        <w:jc w:val="both"/>
        <w:outlineLvl w:val="0"/>
        <w:rPr>
          <w:rFonts w:ascii="Times New Roman" w:hAnsi="Times New Roman" w:eastAsia="Times New Roman" w:cs="Times New Roman"/>
          <w:i/>
          <w:sz w:val="28"/>
          <w:szCs w:val="28"/>
          <w:lang w:eastAsia="ru-RU"/>
        </w:rPr>
      </w:pPr>
      <w:r>
        <w:rPr>
          <w:rFonts w:ascii="Times New Roman" w:hAnsi="Times New Roman" w:eastAsia="Times New Roman" w:cs="Times New Roman"/>
          <w:sz w:val="28"/>
          <w:szCs w:val="28"/>
          <w:lang w:eastAsia="ru-RU"/>
        </w:rPr>
        <w:t>Детерминация коэффициенті R² = 0.069, яғни ИЛ–6 деңгейінің тек 6.9% өзгерісі СРА деңгейімен түсіндіріледі. Бұл төмен детерминация дәрежесі CРА және ИЛ–6 деңгейлері арасындағы әлсіз байланысты көрсетеді, яғни CРА деңгейінің жоғарылауы ИЛ–6 деңгейімен әлсіз ассоциацияланған.</w:t>
      </w:r>
    </w:p>
    <w:p w14:paraId="71706816">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Келесі суретте – 13-те CРА деңгейі мен дене ДСИ  арасындағы өзара байланысты бағалау үшін корреляциялық талдау жүргізілді, соның нәтижесінде сызықтық регрессия теңдеуі құрылды. Нәтижелер CРА деңгейі мен ДСИ  арасында оң сызықтық тәуелділіктің бар екенін көрсетті, бұл регрессия теңдеуімен расталады: y = 22.89 + 0.75x (мұнда y – ДСИ мәні, ал x – CРА деңгейі). Детерминация коэффициентінің мәні R² = 0.155, яғни ДСИ–нің шамамен 15.5% өзгерісін CРА деңгейімен түсіндіруге болады. Бұл CРА және ДСИ деңгейлері арасында орташа оң корреляцияның бар екенін көрсетеді, бұл қабыну процесінің семіздікпен байланысы мүмкін екенін білдіреді. Талдау нәтижелері CРА деңгейімен көрсетілген қабыну процестері ДСИ–нің жоғарылауымен ассоциацияланған болуы мүмкін екенін көрсетеді. Бұл өзара байланыс қабынудың семіздіктің патогенезіндегі рөлін растайтын гипотезаны қолдайды. Мұндай деректер клиникалық маңызға ие, себебі олар семіздік пен оның асқынуларының жоғарылау қаупімен байланысты метаболикалық қабыну концепциясын қолдайды.</w:t>
      </w:r>
    </w:p>
    <w:p w14:paraId="00560510">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drawing>
          <wp:inline distT="0" distB="0" distL="0" distR="0">
            <wp:extent cx="304800" cy="304800"/>
            <wp:effectExtent l="0" t="0" r="0" b="0"/>
            <wp:docPr id="106" name="Рисунок 106" descr="C:\Users\kgmuuser\AppData\Local\Temp\ksohtml7396\wps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Рисунок 106" descr="C:\Users\kgmuuser\AppData\Local\Temp\ksohtml7396\wps22.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a:xfrm>
                      <a:off x="0" y="0"/>
                      <a:ext cx="304800" cy="304800"/>
                    </a:xfrm>
                    <a:prstGeom prst="rect">
                      <a:avLst/>
                    </a:prstGeom>
                    <a:noFill/>
                    <a:ln>
                      <a:noFill/>
                    </a:ln>
                  </pic:spPr>
                </pic:pic>
              </a:graphicData>
            </a:graphic>
          </wp:inline>
        </w:drawing>
      </w:r>
      <w:r>
        <w:rPr>
          <w:rFonts w:ascii="Times New Roman" w:hAnsi="Times New Roman" w:eastAsia="Times New Roman" w:cs="Times New Roman"/>
          <w:sz w:val="28"/>
          <w:szCs w:val="28"/>
          <w:lang w:eastAsia="ru-RU"/>
        </w:rPr>
        <w:t xml:space="preserve"> </w:t>
      </w:r>
      <w:r>
        <w:rPr>
          <w:rFonts w:ascii="Times New Roman" w:hAnsi="Times New Roman" w:eastAsia="Times New Roman" w:cs="Times New Roman"/>
          <w:sz w:val="28"/>
          <w:szCs w:val="28"/>
          <w:lang w:eastAsia="ru-RU"/>
        </w:rPr>
        <w:drawing>
          <wp:inline distT="0" distB="0" distL="0" distR="0">
            <wp:extent cx="304800" cy="304800"/>
            <wp:effectExtent l="0" t="0" r="0" b="0"/>
            <wp:docPr id="107" name="Рисунок 107" descr="C:\Users\kgmuuser\AppData\Local\Temp\ksohtml7396\wps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Рисунок 107" descr="C:\Users\kgmuuser\AppData\Local\Temp\ksohtml7396\wps23.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a:xfrm>
                      <a:off x="0" y="0"/>
                      <a:ext cx="304800" cy="304800"/>
                    </a:xfrm>
                    <a:prstGeom prst="rect">
                      <a:avLst/>
                    </a:prstGeom>
                    <a:noFill/>
                    <a:ln>
                      <a:noFill/>
                    </a:ln>
                  </pic:spPr>
                </pic:pic>
              </a:graphicData>
            </a:graphic>
          </wp:inline>
        </w:drawing>
      </w:r>
      <w:r>
        <w:rPr>
          <w:rFonts w:ascii="Times New Roman" w:hAnsi="Times New Roman" w:eastAsia="Times New Roman" w:cs="Times New Roman"/>
          <w:color w:val="FFFFFF"/>
          <w:sz w:val="28"/>
          <w:szCs w:val="28"/>
          <w:shd w:val="clear" w:color="auto" w:fill="000000"/>
          <w:lang w:eastAsia="ru-RU"/>
        </w:rPr>
        <w:t xml:space="preserve"> </w:t>
      </w:r>
      <w:r>
        <w:rPr>
          <w:rFonts w:ascii="Times New Roman" w:hAnsi="Times New Roman" w:eastAsia="Times New Roman" w:cs="Times New Roman"/>
          <w:sz w:val="28"/>
          <w:szCs w:val="28"/>
          <w:lang w:eastAsia="ru-RU"/>
        </w:rPr>
        <w:drawing>
          <wp:inline distT="0" distB="0" distL="0" distR="0">
            <wp:extent cx="5208270" cy="3861435"/>
            <wp:effectExtent l="0" t="0" r="11430" b="5715"/>
            <wp:docPr id="108" name="Рисунок 108" descr="C:\Users\kgmuuser\AppData\Local\Temp\ksohtml7396\wps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Рисунок 108" descr="C:\Users\kgmuuser\AppData\Local\Temp\ksohtml7396\wps24.p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a:xfrm>
                      <a:off x="0" y="0"/>
                      <a:ext cx="5208270" cy="3861435"/>
                    </a:xfrm>
                    <a:prstGeom prst="rect">
                      <a:avLst/>
                    </a:prstGeom>
                    <a:noFill/>
                    <a:ln>
                      <a:noFill/>
                    </a:ln>
                  </pic:spPr>
                </pic:pic>
              </a:graphicData>
            </a:graphic>
          </wp:inline>
        </w:drawing>
      </w:r>
    </w:p>
    <w:p w14:paraId="7F0CEE08">
      <w:pPr>
        <w:widowControl w:val="0"/>
        <w:autoSpaceDE w:val="0"/>
        <w:autoSpaceDN w:val="0"/>
        <w:spacing w:after="0" w:line="276" w:lineRule="auto"/>
        <w:ind w:firstLine="709"/>
        <w:jc w:val="both"/>
        <w:outlineLvl w:val="0"/>
        <w:rPr>
          <w:rFonts w:ascii="Times New Roman" w:hAnsi="Times New Roman" w:eastAsia="Times New Roman" w:cs="Times New Roman"/>
          <w:iCs/>
          <w:sz w:val="28"/>
          <w:szCs w:val="28"/>
          <w:lang w:eastAsia="ru-RU"/>
        </w:rPr>
      </w:pPr>
    </w:p>
    <w:p w14:paraId="2E14A417">
      <w:pPr>
        <w:widowControl w:val="0"/>
        <w:autoSpaceDE w:val="0"/>
        <w:autoSpaceDN w:val="0"/>
        <w:spacing w:after="0" w:line="276" w:lineRule="auto"/>
        <w:ind w:firstLine="709"/>
        <w:jc w:val="both"/>
        <w:outlineLvl w:val="0"/>
        <w:rPr>
          <w:rFonts w:ascii="Times New Roman" w:hAnsi="Times New Roman" w:eastAsia="Times New Roman" w:cs="Times New Roman"/>
          <w:iCs/>
          <w:sz w:val="28"/>
          <w:szCs w:val="28"/>
          <w:lang w:eastAsia="ru-RU"/>
        </w:rPr>
      </w:pPr>
      <w:r>
        <w:rPr>
          <w:rFonts w:ascii="Times New Roman" w:hAnsi="Times New Roman" w:eastAsia="Times New Roman" w:cs="Times New Roman"/>
          <w:iCs/>
          <w:sz w:val="28"/>
          <w:szCs w:val="28"/>
          <w:lang w:eastAsia="ru-RU"/>
        </w:rPr>
        <w:t>Суретте – 13. C–реактивті белок деңгейі мен дене ДСИ  арасындағы өзара байланысты бағалау</w:t>
      </w:r>
    </w:p>
    <w:p w14:paraId="68E7DFE5">
      <w:pPr>
        <w:widowControl w:val="0"/>
        <w:autoSpaceDE w:val="0"/>
        <w:autoSpaceDN w:val="0"/>
        <w:spacing w:after="0" w:line="276" w:lineRule="auto"/>
        <w:ind w:firstLine="709"/>
        <w:jc w:val="both"/>
        <w:outlineLvl w:val="0"/>
        <w:rPr>
          <w:rFonts w:ascii="Times New Roman" w:hAnsi="Times New Roman" w:eastAsia="Times New Roman" w:cs="Times New Roman"/>
          <w:iCs/>
          <w:sz w:val="28"/>
          <w:szCs w:val="28"/>
          <w:lang w:eastAsia="ru-RU"/>
        </w:rPr>
      </w:pPr>
      <w:r>
        <w:rPr>
          <w:rFonts w:ascii="Times New Roman" w:hAnsi="Times New Roman" w:eastAsia="Times New Roman" w:cs="Times New Roman"/>
          <w:iCs/>
          <w:sz w:val="28"/>
          <w:szCs w:val="28"/>
          <w:lang w:eastAsia="ru-RU"/>
        </w:rPr>
        <w:t xml:space="preserve"> </w:t>
      </w:r>
    </w:p>
    <w:p w14:paraId="2285305B">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Осылайша, алынған нәтижелер жүктемедегі семіздігі бар жүкті әйелдерде анемияның алдын алу және емдеу үшін қабыну процестерін бақылаудың және темір алмасуын түзетудің маңыздылығын атап көрсетеді. Қабыну маркерлері, темір алмасуы және анемия арасындағы анықталған корреляциялар жүктемедегі семіздік пен анемияны байланыстыратын патогенетикалық механизмдерді одан әрі зерттеу үшін негіз бола алады.</w:t>
      </w:r>
    </w:p>
    <w:p w14:paraId="6A9CD691">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 </w:t>
      </w:r>
    </w:p>
    <w:p w14:paraId="1DE06BC5">
      <w:pPr>
        <w:widowControl w:val="0"/>
        <w:autoSpaceDE w:val="0"/>
        <w:autoSpaceDN w:val="0"/>
        <w:spacing w:after="0" w:line="276" w:lineRule="auto"/>
        <w:ind w:firstLine="709"/>
        <w:jc w:val="both"/>
        <w:outlineLvl w:val="0"/>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eastAsia="ru-RU"/>
        </w:rPr>
        <w:t>3.6  Дене салмағының индексіне қабыну және темір метаболизмі маркерлерінің әсерін бағалау: көптік регрессия нәтижелері және прогностикалық модель</w:t>
      </w:r>
    </w:p>
    <w:p w14:paraId="4593180B">
      <w:pPr>
        <w:widowControl w:val="0"/>
        <w:autoSpaceDE w:val="0"/>
        <w:autoSpaceDN w:val="0"/>
        <w:spacing w:after="0" w:line="276" w:lineRule="auto"/>
        <w:ind w:firstLine="709"/>
        <w:jc w:val="both"/>
        <w:outlineLvl w:val="0"/>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eastAsia="ru-RU"/>
        </w:rPr>
        <w:t xml:space="preserve"> </w:t>
      </w:r>
    </w:p>
    <w:p w14:paraId="370E2FAB">
      <w:pPr>
        <w:widowControl w:val="0"/>
        <w:autoSpaceDE w:val="0"/>
        <w:autoSpaceDN w:val="0"/>
        <w:spacing w:after="0" w:line="276" w:lineRule="auto"/>
        <w:ind w:firstLine="709"/>
        <w:jc w:val="both"/>
        <w:outlineLvl w:val="0"/>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Көптік регрессия ДСИ мен қабыну маркерлері (CРА және ИЛ–6), сондай–ақ зат алмасу маркерлері (жалпы билирубин, гепсидин және зәр қышқылы) арасындағы маңызды байланыстарды көрсетті. Бұл предикторларды кезең–кезеңімен қосу модельдің түсіндіру қабілетін арттырып, R² көрсеткішін бастапқыдағы 0,396 мәнінен (тек сегменттік нейтрофилдер) 0,625–ке дейін (алты предикторды қамтыған соңғы модель) көтерді. Бұл нәтижелер қабыну мен метаболизм процестерінің ДСИ өзгертуге ықпал етуі мүмкін екендігін көрсетеді, яғни семіздік жағдайындағы қабыну мен дене салмағының артуы арасындағы байланысты растайды.</w:t>
      </w:r>
    </w:p>
    <w:p w14:paraId="36478C83">
      <w:pPr>
        <w:widowControl w:val="0"/>
        <w:autoSpaceDE w:val="0"/>
        <w:autoSpaceDN w:val="0"/>
        <w:spacing w:after="0" w:line="276" w:lineRule="auto"/>
        <w:ind w:firstLine="709"/>
        <w:jc w:val="both"/>
        <w:outlineLvl w:val="0"/>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Әр кезеңдегі детальды шолу мен модельдің түсіндіру қабілетін арттыру үшін қосылған предикторлардың маңыздылығы төменде көрсетілген.</w:t>
      </w:r>
    </w:p>
    <w:p w14:paraId="71E64BD0">
      <w:pPr>
        <w:widowControl w:val="0"/>
        <w:autoSpaceDE w:val="0"/>
        <w:autoSpaceDN w:val="0"/>
        <w:spacing w:after="0" w:line="276" w:lineRule="auto"/>
        <w:ind w:firstLine="709"/>
        <w:jc w:val="both"/>
        <w:outlineLvl w:val="0"/>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 xml:space="preserve">1–кезең: бастапқы кезеңде модельге жалғыз предиктор – сегменттік ядролы нейтрофилдер енгізілді. R–квадрат мәні 0,396 (39,6%) құрап, ДСИ–дегі өзгерістердің шамамен 40%–ын осы предиктордың есебінен түсіндіруге болатынын көрсетті. Стандартты қате 6,10504 құрады, бұл кезеңдегі модельдің дәлдігін көрсетеді. F–критерий мәні 108,009 (p &lt; 0,001), бұл </w:t>
      </w:r>
      <w:r>
        <w:rPr>
          <w:rFonts w:ascii="Times New Roman" w:hAnsi="Times New Roman" w:eastAsia="Times New Roman" w:cs="Times New Roman"/>
          <w:bCs/>
          <w:sz w:val="28"/>
          <w:szCs w:val="28"/>
          <w:lang w:val="kk-KZ" w:eastAsia="ru-RU"/>
        </w:rPr>
        <w:t>ДСИ</w:t>
      </w:r>
      <w:r>
        <w:rPr>
          <w:rFonts w:ascii="Times New Roman" w:hAnsi="Times New Roman" w:eastAsia="Times New Roman" w:cs="Times New Roman"/>
          <w:bCs/>
          <w:sz w:val="28"/>
          <w:szCs w:val="28"/>
          <w:lang w:eastAsia="ru-RU"/>
        </w:rPr>
        <w:t xml:space="preserve"> мен сегменттік ядролы нейтрофилдер арасындағы статистикалық маңызды байланысты көрсетеді.</w:t>
      </w:r>
    </w:p>
    <w:p w14:paraId="2AF75CAE">
      <w:pPr>
        <w:widowControl w:val="0"/>
        <w:autoSpaceDE w:val="0"/>
        <w:autoSpaceDN w:val="0"/>
        <w:spacing w:after="0" w:line="276" w:lineRule="auto"/>
        <w:ind w:firstLine="709"/>
        <w:jc w:val="both"/>
        <w:outlineLvl w:val="0"/>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 xml:space="preserve">2–кезең: екінші кезеңде модельге «ИЛ–6» предикторы қосылды. Бұл модельді едәуір жақсартып, R–квадрат мәнін 0,549–ға (54,9%) арттырды және стандартты қате 5,28981–ге дейін төмендеді. F–критерий мәні 99,820 (p &lt; 0,001) болып, модельдің статистикалық маңызды екенін растады. ИЛ–6 қосылуы оны </w:t>
      </w:r>
      <w:r>
        <w:rPr>
          <w:rFonts w:ascii="Times New Roman" w:hAnsi="Times New Roman" w:eastAsia="Times New Roman" w:cs="Times New Roman"/>
          <w:bCs/>
          <w:sz w:val="28"/>
          <w:szCs w:val="28"/>
          <w:lang w:val="kk-KZ" w:eastAsia="ru-RU"/>
        </w:rPr>
        <w:t>ДСИ</w:t>
      </w:r>
      <w:r>
        <w:rPr>
          <w:rFonts w:ascii="Times New Roman" w:hAnsi="Times New Roman" w:eastAsia="Times New Roman" w:cs="Times New Roman"/>
          <w:bCs/>
          <w:sz w:val="28"/>
          <w:szCs w:val="28"/>
          <w:lang w:eastAsia="ru-RU"/>
        </w:rPr>
        <w:t xml:space="preserve"> үшін маңызды предиктор ретінде көрсетті және модельдің түсіндіру қабілетін жақсартты.</w:t>
      </w:r>
    </w:p>
    <w:p w14:paraId="6EAB4B43">
      <w:pPr>
        <w:widowControl w:val="0"/>
        <w:autoSpaceDE w:val="0"/>
        <w:autoSpaceDN w:val="0"/>
        <w:spacing w:after="0" w:line="276" w:lineRule="auto"/>
        <w:ind w:firstLine="709"/>
        <w:jc w:val="both"/>
        <w:outlineLvl w:val="0"/>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3–кезең: үшінші кезеңде СРА қосылды, бұл R–квадрат мәнін 0,585–ке (58,5%) дейін арттырып, стандартты қателікті 5,09003–ке дейін төмендетті. F–критерий 76,582 (p &lt; 0,001) болды, бұл СРА–дың ДСИ өзгерістерін түсіндірудегі маңызды үлесін көрсетеді.</w:t>
      </w:r>
    </w:p>
    <w:p w14:paraId="3C733131">
      <w:pPr>
        <w:widowControl w:val="0"/>
        <w:autoSpaceDE w:val="0"/>
        <w:autoSpaceDN w:val="0"/>
        <w:spacing w:after="0" w:line="276" w:lineRule="auto"/>
        <w:ind w:firstLine="709"/>
        <w:jc w:val="both"/>
        <w:outlineLvl w:val="0"/>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4–кезең: келесі кезеңде модельге жалпы билирубин қосылды. Бұл R–квадратты 0,603–ке (60,3%) дейін арттырып, стандартты қателікті 4,99457–ге дейін төмендетті. F–критерий 61,476 (p &lt; 0,001) болып, модельдің статистикалық маңызды екенін және оның болжамдық дәлдігін арттырғанын көрсетеді.</w:t>
      </w:r>
    </w:p>
    <w:p w14:paraId="2A32F55A">
      <w:pPr>
        <w:widowControl w:val="0"/>
        <w:autoSpaceDE w:val="0"/>
        <w:autoSpaceDN w:val="0"/>
        <w:spacing w:after="0" w:line="276" w:lineRule="auto"/>
        <w:ind w:firstLine="709"/>
        <w:jc w:val="both"/>
        <w:outlineLvl w:val="0"/>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5–кезең: бесінші кезеңде модельге гепсидин қосылды, бұл түсіндіру қабілетін одан әрі жақсартып, R–квадратты 0,614–ке (61,4%) дейін көтеріп, стандартты қателікті 4,93946–ға дейін төмендетті. F–критерий 51,211 (p &lt; 0,001) болып, гепсидин мен ДСИ арасындағы маңызды байланысты көрсетеді.</w:t>
      </w:r>
    </w:p>
    <w:p w14:paraId="7FFB3B48">
      <w:pPr>
        <w:widowControl w:val="0"/>
        <w:autoSpaceDE w:val="0"/>
        <w:autoSpaceDN w:val="0"/>
        <w:spacing w:after="0" w:line="276" w:lineRule="auto"/>
        <w:ind w:firstLine="709"/>
        <w:jc w:val="both"/>
        <w:outlineLvl w:val="0"/>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6–кезең: соңғы кезеңде модельге зәр қышқылы қосылды. Бұл R–квадратты 0,625–ке (62,5%) дейін арттырып, стандартты қателікті 4,88488–ге дейін төмендетті, ал F–критерий 44,404 (p &lt; 0,001) құрады, бұл талдаудың барлық кезеңдері арасындағы ең жақсы нәтиже болды. Бұл модель ДСИ–дегі вариацияның 62,5%–ын түсіндіре алады және болжамның жоғары дәлдігімен ерекшеленеді.</w:t>
      </w:r>
    </w:p>
    <w:p w14:paraId="641E4532">
      <w:pPr>
        <w:widowControl w:val="0"/>
        <w:autoSpaceDE w:val="0"/>
        <w:autoSpaceDN w:val="0"/>
        <w:spacing w:after="0" w:line="276" w:lineRule="auto"/>
        <w:ind w:firstLine="709"/>
        <w:jc w:val="both"/>
        <w:outlineLvl w:val="0"/>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Анализ сегменттік ядролы нейтрофилдер, ИЛ–6, СРА, жалпы билирубин, гепсидин және зәр қышқылы предикторларын біртіндеп қосу модельдің түсіндіру қабілетін айтарлықтай жақсартып, әр кезеңде R–квадратты арттырып, стандартты қателікті төмендеткенін көрсетті. ДСИ өзгерістерінің 62,5%–ын түсіндіретін соңғы модель қабыну маркерлерінің, соның ішінде ИЛ–6, СРА және гепсидиннің, ДСИ–мен ассоциациясын растайды. Бұл мәліметтер қабыну маркерлерінің семіздік патогенезіндегі және оның асқынуларындағы рөлін қолдайды, бұл оларды семіздікке байланысты метаболикалық бұзылуларды ерте диагностикалау мен алдын алу үшін пайдалы индикаторлар етеді.</w:t>
      </w:r>
    </w:p>
    <w:p w14:paraId="78517BBB">
      <w:pPr>
        <w:widowControl w:val="0"/>
        <w:autoSpaceDE w:val="0"/>
        <w:autoSpaceDN w:val="0"/>
        <w:spacing w:after="0" w:line="276" w:lineRule="auto"/>
        <w:ind w:firstLine="709"/>
        <w:jc w:val="both"/>
        <w:outlineLvl w:val="0"/>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Модельдің қалдықтарын талдау нәтижелері бойынша,</w:t>
      </w:r>
      <w:r>
        <w:rPr>
          <w:rFonts w:ascii="Times New Roman" w:hAnsi="Times New Roman" w:eastAsia="Times New Roman" w:cs="Times New Roman"/>
          <w:bCs/>
          <w:sz w:val="28"/>
          <w:szCs w:val="28"/>
          <w:lang w:val="kk-KZ" w:eastAsia="ru-RU"/>
        </w:rPr>
        <w:t xml:space="preserve"> </w:t>
      </w:r>
      <w:r>
        <w:rPr>
          <w:rFonts w:ascii="Times New Roman" w:hAnsi="Times New Roman" w:eastAsia="Times New Roman" w:cs="Times New Roman"/>
          <w:bCs/>
          <w:sz w:val="28"/>
          <w:szCs w:val="28"/>
          <w:lang w:eastAsia="ru-RU"/>
        </w:rPr>
        <w:t>ДСИ болжау мәндері 18,82–ден 45,88–ге дейінгі аралықта болды, орташа мәні 28,69 және стандартты ауытқуы 6,13 (N = 167). Қалдықтар (бақыланған және болжау мәндерінің айырмашылығы) –13,89–дан 13,69–ға дейін өзгеріп, орташа мәні нөлге тең және стандартты ауытқуы 4,86, бұл модельдің дәлдігін көрсетеді.</w:t>
      </w:r>
    </w:p>
    <w:p w14:paraId="6904BCB4">
      <w:pPr>
        <w:widowControl w:val="0"/>
        <w:autoSpaceDE w:val="0"/>
        <w:autoSpaceDN w:val="0"/>
        <w:spacing w:after="0" w:line="276" w:lineRule="auto"/>
        <w:ind w:firstLine="709"/>
        <w:jc w:val="both"/>
        <w:outlineLvl w:val="0"/>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Стандартизирленген болжау мәндерінің диапазоны –1,61–ден 2,80–ге дейін, орташа мәні 0 және стандартты ауытқуы 1–ге тең, бұл болжау мәндерінің қалыпты бөліністе екенін растайды. Стандартизирленген қалдықтар –2,81–ден 2,77–ге дейінгі аралықта ауытқып, орташа мәні нөлге тең және стандартты ауытқуы 0,985, бұл қалдықтардың қалыпты бөлінісін және айтарлықтай ауытқулардың жоқтығын көрсетеді. Бұл нәтижелер модельдің осы үлгідегі ДСИ–ны түсіндіруге жақсы сәйкес келетінін көрсетеді, себебі қалдықтар күшті ығысуға ие емес және қалыпты бөлініске жақын, бұл сызықтық регрессияның дұрыстығын растайды.</w:t>
      </w:r>
    </w:p>
    <w:p w14:paraId="75C82452">
      <w:pPr>
        <w:widowControl w:val="0"/>
        <w:autoSpaceDE w:val="0"/>
        <w:autoSpaceDN w:val="0"/>
        <w:spacing w:after="0" w:line="276" w:lineRule="auto"/>
        <w:ind w:firstLine="709"/>
        <w:jc w:val="both"/>
        <w:outlineLvl w:val="0"/>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Модельдің қалдықтары –13,98–ден 11,98–ге дейінгі аралықта, орташа мәні нөлге және стандартты ауытқуы 4,43–ке тең болды. Стандартизирленген қалдықтар –2,87–ден 2,45–ке дейін өзгеріп, қалдықтардың бөлінісінде айтарлықтай ығысудың жоқ екенін көрсетеді. Стьюдентизирленген қалдықтар –3,20–дан 2,72–ге дейінгі аралықта, орташа мәні 0,004 және стандартты ауытқуы 1,01 болды, бұл модельдің жарамдылығын дәлелдейді.</w:t>
      </w:r>
    </w:p>
    <w:p w14:paraId="1A266350">
      <w:pPr>
        <w:widowControl w:val="0"/>
        <w:autoSpaceDE w:val="0"/>
        <w:autoSpaceDN w:val="0"/>
        <w:spacing w:after="0" w:line="276" w:lineRule="auto"/>
        <w:ind w:firstLine="709"/>
        <w:jc w:val="both"/>
        <w:outlineLvl w:val="0"/>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Гистограммада (сурет–14) ДСИ–ға қатысты болжау мәні мен қалдықтар арасындағы тәуелділік үшін регрессияның стандартизирленген қалдықтарының бөлінісі көрсетілген. График қалдықтардың қалыпты бөлінісін көрсетеді, мұнда орташа мән нөлге жақын (орташа = –8,76E–16) және стандартты ауытқуы шамалы (0,982). Бұл қалдықтардың қалыпты бөлінісін көрсетіп, модельдегі сызықтық және қалыптылыққа қатысты болжамдарды растайды.</w:t>
      </w:r>
    </w:p>
    <w:p w14:paraId="4DBCC1EA">
      <w:pPr>
        <w:widowControl w:val="0"/>
        <w:autoSpaceDE w:val="0"/>
        <w:autoSpaceDN w:val="0"/>
        <w:spacing w:after="0" w:line="276" w:lineRule="auto"/>
        <w:ind w:firstLine="709"/>
        <w:jc w:val="both"/>
        <w:outlineLvl w:val="0"/>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 xml:space="preserve"> </w:t>
      </w:r>
    </w:p>
    <w:p w14:paraId="5D67FD48">
      <w:pPr>
        <w:widowControl w:val="0"/>
        <w:autoSpaceDE w:val="0"/>
        <w:autoSpaceDN w:val="0"/>
        <w:spacing w:after="0" w:line="276" w:lineRule="auto"/>
        <w:ind w:firstLine="709"/>
        <w:jc w:val="both"/>
        <w:outlineLvl w:val="0"/>
        <w:rPr>
          <w:rFonts w:ascii="Times New Roman" w:hAnsi="Times New Roman" w:eastAsia="Times New Roman" w:cs="Times New Roman"/>
          <w:bCs/>
          <w:sz w:val="28"/>
          <w:szCs w:val="28"/>
          <w:lang w:eastAsia="ru-RU"/>
        </w:rPr>
      </w:pPr>
    </w:p>
    <w:p w14:paraId="796C93BC">
      <w:pPr>
        <w:widowControl w:val="0"/>
        <w:autoSpaceDE w:val="0"/>
        <w:autoSpaceDN w:val="0"/>
        <w:spacing w:after="0" w:line="276" w:lineRule="auto"/>
        <w:ind w:firstLine="709"/>
        <w:jc w:val="both"/>
        <w:outlineLvl w:val="0"/>
        <w:rPr>
          <w:rFonts w:ascii="Times New Roman" w:hAnsi="Times New Roman" w:eastAsia="Times New Roman" w:cs="Times New Roman"/>
          <w:bCs/>
          <w:sz w:val="28"/>
          <w:szCs w:val="28"/>
          <w:lang w:eastAsia="ru-RU"/>
        </w:rPr>
      </w:pPr>
    </w:p>
    <w:p w14:paraId="556C98AB">
      <w:pPr>
        <w:widowControl w:val="0"/>
        <w:autoSpaceDE w:val="0"/>
        <w:autoSpaceDN w:val="0"/>
        <w:spacing w:after="0" w:line="276" w:lineRule="auto"/>
        <w:ind w:firstLine="709"/>
        <w:jc w:val="both"/>
        <w:outlineLvl w:val="0"/>
        <w:rPr>
          <w:rFonts w:ascii="Times New Roman" w:hAnsi="Times New Roman" w:eastAsia="Times New Roman" w:cs="Times New Roman"/>
          <w:bCs/>
          <w:sz w:val="28"/>
          <w:szCs w:val="28"/>
          <w:lang w:eastAsia="ru-RU"/>
        </w:rPr>
      </w:pPr>
    </w:p>
    <w:p w14:paraId="4229BE40">
      <w:pPr>
        <w:widowControl w:val="0"/>
        <w:autoSpaceDE w:val="0"/>
        <w:autoSpaceDN w:val="0"/>
        <w:spacing w:after="0" w:line="276" w:lineRule="auto"/>
        <w:jc w:val="both"/>
        <w:outlineLvl w:val="0"/>
        <w:rPr>
          <w:rFonts w:ascii="Times New Roman" w:hAnsi="Times New Roman" w:eastAsia="Times New Roman" w:cs="Times New Roman"/>
          <w:bCs/>
          <w:sz w:val="28"/>
          <w:szCs w:val="28"/>
          <w:lang w:eastAsia="ru-RU"/>
        </w:rPr>
      </w:pPr>
    </w:p>
    <w:p w14:paraId="567466D4">
      <w:pPr>
        <w:widowControl w:val="0"/>
        <w:autoSpaceDE w:val="0"/>
        <w:autoSpaceDN w:val="0"/>
        <w:spacing w:after="0" w:line="276" w:lineRule="auto"/>
        <w:ind w:firstLine="709"/>
        <w:jc w:val="both"/>
        <w:outlineLvl w:val="0"/>
        <w:rPr>
          <w:rFonts w:ascii="Times New Roman" w:hAnsi="Times New Roman" w:eastAsia="Times New Roman" w:cs="Times New Roman"/>
          <w:bCs/>
          <w:sz w:val="28"/>
          <w:szCs w:val="28"/>
          <w:lang w:eastAsia="ru-RU"/>
        </w:rPr>
      </w:pPr>
    </w:p>
    <w:p w14:paraId="4A99BB17">
      <w:pPr>
        <w:widowControl w:val="0"/>
        <w:autoSpaceDE w:val="0"/>
        <w:autoSpaceDN w:val="0"/>
        <w:spacing w:after="0" w:line="276" w:lineRule="auto"/>
        <w:ind w:firstLine="709"/>
        <w:jc w:val="both"/>
        <w:outlineLvl w:val="0"/>
        <w:rPr>
          <w:rFonts w:ascii="Times New Roman" w:hAnsi="Times New Roman" w:eastAsia="Times New Roman" w:cs="Times New Roman"/>
          <w:bCs/>
          <w:sz w:val="28"/>
          <w:szCs w:val="28"/>
          <w:highlight w:val="yellow"/>
          <w:lang w:eastAsia="ru-RU"/>
        </w:rPr>
      </w:pPr>
      <w:r>
        <w:rPr>
          <w:rFonts w:ascii="Times New Roman" w:hAnsi="Times New Roman" w:eastAsia="Times New Roman" w:cs="Times New Roman"/>
          <w:sz w:val="28"/>
          <w:szCs w:val="28"/>
          <w:lang w:eastAsia="ru-RU"/>
        </w:rPr>
        <w:drawing>
          <wp:inline distT="0" distB="0" distL="0" distR="0">
            <wp:extent cx="5250180" cy="3084195"/>
            <wp:effectExtent l="0" t="0" r="7620" b="1905"/>
            <wp:docPr id="109" name="Рисунок 109" descr="C:\Users\kgmuuser\AppData\Local\Temp\ksohtml7396\wps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Рисунок 109" descr="C:\Users\kgmuuser\AppData\Local\Temp\ksohtml7396\wps25.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a:xfrm>
                      <a:off x="0" y="0"/>
                      <a:ext cx="5250180" cy="3084195"/>
                    </a:xfrm>
                    <a:prstGeom prst="rect">
                      <a:avLst/>
                    </a:prstGeom>
                    <a:noFill/>
                    <a:ln>
                      <a:noFill/>
                    </a:ln>
                  </pic:spPr>
                </pic:pic>
              </a:graphicData>
            </a:graphic>
          </wp:inline>
        </w:drawing>
      </w:r>
    </w:p>
    <w:p w14:paraId="06AB46AA">
      <w:pPr>
        <w:widowControl w:val="0"/>
        <w:autoSpaceDE w:val="0"/>
        <w:autoSpaceDN w:val="0"/>
        <w:spacing w:after="0" w:line="276" w:lineRule="auto"/>
        <w:ind w:firstLine="709"/>
        <w:jc w:val="both"/>
        <w:outlineLvl w:val="0"/>
        <w:rPr>
          <w:rFonts w:ascii="Times New Roman" w:hAnsi="Times New Roman" w:eastAsia="Times New Roman" w:cs="Times New Roman"/>
          <w:bCs/>
          <w:iCs/>
          <w:sz w:val="28"/>
          <w:szCs w:val="28"/>
          <w:lang w:eastAsia="ru-RU"/>
        </w:rPr>
      </w:pPr>
      <w:r>
        <w:rPr>
          <w:rFonts w:ascii="Times New Roman" w:hAnsi="Times New Roman" w:eastAsia="Times New Roman" w:cs="Times New Roman"/>
          <w:bCs/>
          <w:iCs/>
          <w:sz w:val="28"/>
          <w:szCs w:val="28"/>
          <w:lang w:eastAsia="ru-RU"/>
        </w:rPr>
        <w:t>Сурет – 14. Қалдықтар гистограмасы</w:t>
      </w:r>
    </w:p>
    <w:p w14:paraId="73C28B0C">
      <w:pPr>
        <w:widowControl w:val="0"/>
        <w:autoSpaceDE w:val="0"/>
        <w:autoSpaceDN w:val="0"/>
        <w:spacing w:after="0" w:line="276" w:lineRule="auto"/>
        <w:ind w:firstLine="709"/>
        <w:jc w:val="both"/>
        <w:outlineLvl w:val="0"/>
        <w:rPr>
          <w:rFonts w:ascii="Times New Roman" w:hAnsi="Times New Roman" w:eastAsia="Times New Roman" w:cs="Times New Roman"/>
          <w:bCs/>
          <w:i/>
          <w:sz w:val="28"/>
          <w:szCs w:val="28"/>
          <w:lang w:eastAsia="ru-RU"/>
        </w:rPr>
      </w:pPr>
      <w:r>
        <w:rPr>
          <w:rFonts w:ascii="Times New Roman" w:hAnsi="Times New Roman" w:eastAsia="Times New Roman" w:cs="Times New Roman"/>
          <w:bCs/>
          <w:i/>
          <w:sz w:val="28"/>
          <w:szCs w:val="28"/>
          <w:lang w:eastAsia="ru-RU"/>
        </w:rPr>
        <w:t xml:space="preserve"> </w:t>
      </w:r>
    </w:p>
    <w:p w14:paraId="095D3A68">
      <w:pPr>
        <w:widowControl w:val="0"/>
        <w:autoSpaceDE w:val="0"/>
        <w:autoSpaceDN w:val="0"/>
        <w:spacing w:after="0" w:line="276" w:lineRule="auto"/>
        <w:ind w:firstLine="709"/>
        <w:jc w:val="both"/>
        <w:outlineLvl w:val="0"/>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Зерттеудің стандартталған қалдықтарының қалыпты үлестірімге сәйкестігін бағалау үшін гистограмма құрылған (сурет–14). Гистограмма нәтижелері стандартталған қалдықтардың орташа мәннің айналасында топтасқанын және екі жаққа қарай симметриялы таралғанын көрсетеді. Мұндай үлгі деректердің қалыпты үлестірімге жақындығын көрсетеді, бұл статистикалық талдау нәтижелерінің сенімділігін және модельдің жарамдылығын дәлелдеуге мүмкіндік береді.</w:t>
      </w:r>
    </w:p>
    <w:p w14:paraId="589662C0">
      <w:pPr>
        <w:widowControl w:val="0"/>
        <w:autoSpaceDE w:val="0"/>
        <w:autoSpaceDN w:val="0"/>
        <w:spacing w:after="0" w:line="276" w:lineRule="auto"/>
        <w:ind w:firstLine="709"/>
        <w:jc w:val="both"/>
        <w:outlineLvl w:val="0"/>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 xml:space="preserve"> </w:t>
      </w:r>
    </w:p>
    <w:p w14:paraId="1C5737B8">
      <w:pPr>
        <w:widowControl w:val="0"/>
        <w:autoSpaceDE w:val="0"/>
        <w:autoSpaceDN w:val="0"/>
        <w:spacing w:after="0" w:line="276" w:lineRule="auto"/>
        <w:ind w:firstLine="709"/>
        <w:jc w:val="both"/>
        <w:outlineLvl w:val="0"/>
        <w:rPr>
          <w:rFonts w:ascii="Times New Roman" w:hAnsi="Times New Roman" w:eastAsia="Times New Roman" w:cs="Times New Roman"/>
          <w:bCs/>
          <w:sz w:val="28"/>
          <w:szCs w:val="28"/>
          <w:lang w:eastAsia="ru-RU"/>
        </w:rPr>
      </w:pPr>
    </w:p>
    <w:p w14:paraId="59014AC2">
      <w:pPr>
        <w:widowControl w:val="0"/>
        <w:autoSpaceDE w:val="0"/>
        <w:autoSpaceDN w:val="0"/>
        <w:spacing w:after="0" w:line="276" w:lineRule="auto"/>
        <w:ind w:firstLine="709"/>
        <w:jc w:val="both"/>
        <w:outlineLvl w:val="0"/>
        <w:rPr>
          <w:rFonts w:ascii="Times New Roman" w:hAnsi="Times New Roman" w:eastAsia="Times New Roman" w:cs="Times New Roman"/>
          <w:bCs/>
          <w:sz w:val="28"/>
          <w:szCs w:val="28"/>
          <w:lang w:eastAsia="ru-RU"/>
        </w:rPr>
      </w:pPr>
      <w:r>
        <w:rPr>
          <w:rFonts w:ascii="Times New Roman" w:hAnsi="Times New Roman" w:eastAsia="Times New Roman" w:cs="Times New Roman"/>
          <w:sz w:val="28"/>
          <w:szCs w:val="28"/>
          <w:lang w:eastAsia="ru-RU"/>
        </w:rPr>
        <w:drawing>
          <wp:inline distT="0" distB="0" distL="0" distR="0">
            <wp:extent cx="4584700" cy="3028950"/>
            <wp:effectExtent l="0" t="0" r="6350" b="0"/>
            <wp:docPr id="110" name="Рисунок 110" descr="C:\Users\kgmuuser\AppData\Local\Temp\ksohtml7396\wps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Рисунок 110" descr="C:\Users\kgmuuser\AppData\Local\Temp\ksohtml7396\wps26.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a:xfrm>
                      <a:off x="0" y="0"/>
                      <a:ext cx="4584700" cy="3028950"/>
                    </a:xfrm>
                    <a:prstGeom prst="rect">
                      <a:avLst/>
                    </a:prstGeom>
                    <a:noFill/>
                    <a:ln>
                      <a:noFill/>
                    </a:ln>
                  </pic:spPr>
                </pic:pic>
              </a:graphicData>
            </a:graphic>
          </wp:inline>
        </w:drawing>
      </w:r>
      <w:r>
        <w:rPr>
          <w:rFonts w:ascii="Times New Roman" w:hAnsi="Times New Roman" w:eastAsia="Times New Roman" w:cs="Times New Roman"/>
          <w:bCs/>
          <w:sz w:val="28"/>
          <w:szCs w:val="28"/>
          <w:lang w:eastAsia="ru-RU"/>
        </w:rPr>
        <w:t xml:space="preserve">  </w:t>
      </w:r>
    </w:p>
    <w:p w14:paraId="219DE82B">
      <w:pPr>
        <w:widowControl w:val="0"/>
        <w:autoSpaceDE w:val="0"/>
        <w:autoSpaceDN w:val="0"/>
        <w:spacing w:after="0" w:line="276" w:lineRule="auto"/>
        <w:ind w:firstLine="709"/>
        <w:jc w:val="both"/>
        <w:outlineLvl w:val="0"/>
        <w:rPr>
          <w:rFonts w:ascii="Times New Roman" w:hAnsi="Times New Roman" w:eastAsia="Times New Roman" w:cs="Times New Roman"/>
          <w:bCs/>
          <w:sz w:val="28"/>
          <w:szCs w:val="28"/>
          <w:lang w:eastAsia="ru-RU"/>
        </w:rPr>
      </w:pPr>
    </w:p>
    <w:p w14:paraId="41E07E7B">
      <w:pPr>
        <w:widowControl w:val="0"/>
        <w:autoSpaceDE w:val="0"/>
        <w:autoSpaceDN w:val="0"/>
        <w:spacing w:after="0" w:line="276" w:lineRule="auto"/>
        <w:ind w:firstLine="709"/>
        <w:jc w:val="both"/>
        <w:outlineLvl w:val="0"/>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Сурет – 15. Регрессияның Q–Q – графигі</w:t>
      </w:r>
    </w:p>
    <w:p w14:paraId="5C610BC0">
      <w:pPr>
        <w:widowControl w:val="0"/>
        <w:autoSpaceDE w:val="0"/>
        <w:autoSpaceDN w:val="0"/>
        <w:spacing w:after="0" w:line="276" w:lineRule="auto"/>
        <w:ind w:firstLine="709"/>
        <w:jc w:val="both"/>
        <w:outlineLvl w:val="0"/>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 xml:space="preserve"> </w:t>
      </w:r>
    </w:p>
    <w:p w14:paraId="120CA124">
      <w:pPr>
        <w:widowControl w:val="0"/>
        <w:autoSpaceDE w:val="0"/>
        <w:autoSpaceDN w:val="0"/>
        <w:spacing w:after="0" w:line="276" w:lineRule="auto"/>
        <w:ind w:firstLine="709"/>
        <w:jc w:val="both"/>
        <w:outlineLvl w:val="0"/>
        <w:rPr>
          <w:rFonts w:ascii="Times New Roman" w:hAnsi="Times New Roman" w:eastAsia="Times New Roman" w:cs="Times New Roman"/>
          <w:bCs/>
          <w:sz w:val="28"/>
          <w:szCs w:val="28"/>
          <w:highlight w:val="yellow"/>
          <w:lang w:eastAsia="ru-RU"/>
        </w:rPr>
      </w:pPr>
      <w:r>
        <w:rPr>
          <w:rFonts w:ascii="Times New Roman" w:hAnsi="Times New Roman" w:eastAsia="Times New Roman" w:cs="Times New Roman"/>
          <w:bCs/>
          <w:sz w:val="28"/>
          <w:szCs w:val="28"/>
          <w:lang w:eastAsia="ru-RU"/>
        </w:rPr>
        <w:t>Деректердің қалыпты үлестірімділігін тексеру үшін стандартталған қалдықтарға Q–Q (квант–квант) қалыпты графигі жасалды. Q–Q графигі (сурет–15)  бақылау мәндері мен қалыпты үлестірімнен күтілетін мәндерді салыстырады. Бұл графикте нүктелердің диагональ бойында орналасуы деректердің қалыпты үлестірімге жақын екендігін көрсетеді.</w:t>
      </w:r>
    </w:p>
    <w:p w14:paraId="098E9422">
      <w:pPr>
        <w:widowControl w:val="0"/>
        <w:autoSpaceDE w:val="0"/>
        <w:autoSpaceDN w:val="0"/>
        <w:spacing w:after="0" w:line="276" w:lineRule="auto"/>
        <w:ind w:firstLine="709"/>
        <w:jc w:val="both"/>
        <w:outlineLvl w:val="0"/>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Махалонобис қашықтығының мәндері 8,94–тен 97,05–ке дейінгі аралықта болды, орташа мәні 28,83 және стандартты ауытқуы 15,74, бұл бақылаулар арасындағы қашықтықта кейбір вариативтілік бар екенін көрсетеді. Кук қашықтығының мәні 0–ден 0,127–ге дейін, орташа мәні 0,008 және стандартты ауытқуы 0,018, бұл күшті әсер ететін нүктелердің жоқтығын көрсетеді.</w:t>
      </w:r>
    </w:p>
    <w:p w14:paraId="3DD59CB7">
      <w:pPr>
        <w:widowControl w:val="0"/>
        <w:autoSpaceDE w:val="0"/>
        <w:autoSpaceDN w:val="0"/>
        <w:spacing w:after="0" w:line="276" w:lineRule="auto"/>
        <w:ind w:firstLine="709"/>
        <w:jc w:val="both"/>
        <w:outlineLvl w:val="0"/>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Бақылаулар үшін орталықтандырылған теңестіру мәндері 0,054–тен 0,585–ке дейін, орташа мәні 0,174 және стандартты ауытқуы 0,095, бұл модельдің теңестірілгенін растайды. Бұл нәтижелер модельдің ДСИ–дағы вариацияларды түсіндіру үшін жарамдылығын көрсетеді, өйткені қалдықтар қалыпты бөлініске ие және Махалонобис пен Кук қашықтық мәндері айтарлықтай ауытқулар немесе ықпалды бақылаулардың жоқтығын көрсетеді.</w:t>
      </w:r>
    </w:p>
    <w:p w14:paraId="46E9F371">
      <w:pPr>
        <w:widowControl w:val="0"/>
        <w:autoSpaceDE w:val="0"/>
        <w:autoSpaceDN w:val="0"/>
        <w:spacing w:after="0" w:line="276" w:lineRule="auto"/>
        <w:ind w:firstLine="709"/>
        <w:jc w:val="both"/>
        <w:outlineLvl w:val="0"/>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 xml:space="preserve">Мультиколлинеарлықты бағалау үшін модельдегі меншікті мәндер мен шарттылық көрсеткіштері талданды. Соңғы кезеңдегі модельдегі шарттылық көрсеткіші 37,435–ке жетті, бұл әсіресе гепсидин, ИЛ–6  және СРА предикторларына қатысты мультиколлинеарлықтың ықтимал бар екенін көрсетеді. Бұл айнымалылар дисперсияның жоғары үлесін (99%–ға дейін) көрсетті, бұл олардың өзара тәуелділігінің мүмкіндігін білдіреді. Коллинеарлықтың болуына қарамастан, модель маңызды болып қала береді және ДСИ–дағы вариациялардың 62,5%–ын түсіндіреді, бұл оның қабыну маркерлері мен </w:t>
      </w:r>
      <w:r>
        <w:rPr>
          <w:rFonts w:ascii="Times New Roman" w:hAnsi="Times New Roman" w:eastAsia="Times New Roman" w:cs="Times New Roman"/>
          <w:bCs/>
          <w:sz w:val="28"/>
          <w:szCs w:val="28"/>
          <w:lang w:val="kk-KZ" w:eastAsia="ru-RU"/>
        </w:rPr>
        <w:t>ДСИ</w:t>
      </w:r>
      <w:r>
        <w:rPr>
          <w:rFonts w:ascii="Times New Roman" w:hAnsi="Times New Roman" w:eastAsia="Times New Roman" w:cs="Times New Roman"/>
          <w:bCs/>
          <w:sz w:val="28"/>
          <w:szCs w:val="28"/>
          <w:lang w:eastAsia="ru-RU"/>
        </w:rPr>
        <w:t xml:space="preserve"> арасындағы байланысты талдауға жарамдылығын растайды.</w:t>
      </w:r>
    </w:p>
    <w:p w14:paraId="182D2386">
      <w:pPr>
        <w:widowControl w:val="0"/>
        <w:autoSpaceDE w:val="0"/>
        <w:autoSpaceDN w:val="0"/>
        <w:spacing w:after="0" w:line="276" w:lineRule="auto"/>
        <w:ind w:firstLine="709"/>
        <w:jc w:val="both"/>
        <w:outlineLvl w:val="0"/>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 xml:space="preserve"> </w:t>
      </w:r>
    </w:p>
    <w:p w14:paraId="16B88D9F">
      <w:pPr>
        <w:widowControl w:val="0"/>
        <w:autoSpaceDE w:val="0"/>
        <w:autoSpaceDN w:val="0"/>
        <w:spacing w:after="0" w:line="276" w:lineRule="auto"/>
        <w:ind w:firstLine="709"/>
        <w:jc w:val="both"/>
        <w:outlineLvl w:val="0"/>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eastAsia="ru-RU"/>
        </w:rPr>
        <w:t>3.7 Семіздікке әсер ететін факторларды бағалау: қабыну маркерлерінің рөлі және прогностикалық модель нәтижелері</w:t>
      </w:r>
    </w:p>
    <w:p w14:paraId="411DBA3E">
      <w:pPr>
        <w:widowControl w:val="0"/>
        <w:autoSpaceDE w:val="0"/>
        <w:autoSpaceDN w:val="0"/>
        <w:spacing w:after="0" w:line="276" w:lineRule="auto"/>
        <w:ind w:firstLine="709"/>
        <w:jc w:val="both"/>
        <w:outlineLvl w:val="0"/>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eastAsia="ru-RU"/>
        </w:rPr>
        <w:t xml:space="preserve"> </w:t>
      </w:r>
    </w:p>
    <w:p w14:paraId="2C7EC02E">
      <w:pPr>
        <w:widowControl w:val="0"/>
        <w:autoSpaceDE w:val="0"/>
        <w:autoSpaceDN w:val="0"/>
        <w:spacing w:after="0" w:line="276" w:lineRule="auto"/>
        <w:ind w:firstLine="709"/>
        <w:jc w:val="both"/>
        <w:outlineLvl w:val="0"/>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Логистикалық регрессия анализі семіздікке байланысты</w:t>
      </w:r>
      <w:r>
        <w:rPr>
          <w:rFonts w:ascii="Times New Roman" w:hAnsi="Times New Roman" w:eastAsia="Times New Roman" w:cs="Times New Roman"/>
          <w:b/>
          <w:bCs/>
          <w:sz w:val="28"/>
          <w:szCs w:val="28"/>
          <w:lang w:eastAsia="ru-RU"/>
        </w:rPr>
        <w:t xml:space="preserve"> </w:t>
      </w:r>
      <w:r>
        <w:rPr>
          <w:rFonts w:ascii="Times New Roman" w:hAnsi="Times New Roman" w:eastAsia="Times New Roman" w:cs="Times New Roman"/>
          <w:bCs/>
          <w:sz w:val="28"/>
          <w:szCs w:val="28"/>
          <w:lang w:eastAsia="ru-RU"/>
        </w:rPr>
        <w:t>факторларды болжау үшін қабыну көрсеткіштері мен басқа клиникалық сипаттамаларды пайдалана отырып орындалды. Тәуелді айнымалы ретінде семіздіктің бар–жоғы қарастырылды.</w:t>
      </w:r>
    </w:p>
    <w:p w14:paraId="159F6E85">
      <w:pPr>
        <w:widowControl w:val="0"/>
        <w:autoSpaceDE w:val="0"/>
        <w:autoSpaceDN w:val="0"/>
        <w:spacing w:after="0" w:line="276" w:lineRule="auto"/>
        <w:ind w:firstLine="709"/>
        <w:jc w:val="both"/>
        <w:outlineLvl w:val="0"/>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Модельдің сапасы және үйлесімділігіне келетін болсақ модельдің  логарифмдік ұқсастық мәні 43,921 болғанын көрсетеді, бұл модельдің деректерге сәйкес келетінін білдіреді. Кокс–Снелл R–квадраты (0,675) және Нэйджелкерк R–квадраты (0,900) модельдің түсіндіру қабілетінің жоғары екенін растайды. Хосмер–Лемешов тестінің үйлесімділігі χ² = 2,097, p = 0,978 мәнімен модельдің деректермен үйлесімділігін және болжамдарының дұрыстығын көрсетеді. Модельдің семіздікті болжаудағы жоғары дәлдігін көрсетеді: модель жағдайлардың 94,6%–ын дұрыс классификациялады. Атап айтқанда, семіздігі бар адамдарды дұрыс анықтау 96,4%–ды, ал семіздігі жоқ адамдарды анықтау 92,8%–ды құрады. Бұл модельдің болжау дәлдігінің жоғары екенін көрсетеді.</w:t>
      </w:r>
    </w:p>
    <w:p w14:paraId="205F9493">
      <w:pPr>
        <w:widowControl w:val="0"/>
        <w:autoSpaceDE w:val="0"/>
        <w:autoSpaceDN w:val="0"/>
        <w:spacing w:after="0" w:line="276" w:lineRule="auto"/>
        <w:ind w:firstLine="709"/>
        <w:jc w:val="both"/>
        <w:outlineLvl w:val="0"/>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 xml:space="preserve"> Жекелеген предикторлардың әсері: әрбір предиктордың маңыздылығы Вальда тесті арқылы бағаланды. p &lt; 0,05 мәнінде статистикалық маңызға ие болған предикторлар: гемоглобин (B = 0,103, p = 0,026, Exp(B) = 1,109) деңгейінің жоғарылауы, ЭТЖ-ның (B = 0,362, p = 0,001, Exp(B) = 1,436) артуы, сегменттік ядролы нейтрофилдер (B = 0,723, p &lt; 0,001, Exp(B) = 2,061) деңгейінің артуы семіздік ықтималдығын арттырады, бұл семіздік пен қабыну процесінің байланысын растайды. Гепсидин (B = 0,001, p = 0,002, Exp(B) = 1,001)  де қабыну маркері ретінде семіздік ықтималдығымен байланысты. Эритропоэтин (B = –0,021, p = 0,027, Exp(B) = 0,980) кері ассоциациясы семіздік кезінде оның деңгейінің төмендеуімен байланысты. Және СРА деңгейі (B = 0,580, p = 0,001, Exp(B) = 1,787) мен ИЛ-6 (B = 0,702, p = 0,001, Exp(B) = 2,018) жоғарылауы семіздік ықтималдығын арттырады.</w:t>
      </w:r>
    </w:p>
    <w:p w14:paraId="0DD37DFB">
      <w:pPr>
        <w:widowControl w:val="0"/>
        <w:autoSpaceDE w:val="0"/>
        <w:autoSpaceDN w:val="0"/>
        <w:spacing w:after="0" w:line="276" w:lineRule="auto"/>
        <w:ind w:firstLine="709"/>
        <w:jc w:val="both"/>
        <w:outlineLvl w:val="0"/>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Иық дистоциясы (B = 8,618, p = 0,003, Exp(B) = 5530,115) болуы семіздікпен айтарлықтай байланысты, бұл кейбір анамнездік және метаболикалық факторлармен байланысты болуы мүмкін. Анемия, ферритин және гестациялық диабет сияқты басқа предикторлар модельде семіздікке статистикалық маңызға ие әсер көрсетпеді. Бұл талдау қабыну маркерлерінің (ЭТЖ, сегменттік ядролы нейтрофилдер, СРА, ИЛ–6) және зат алмасу маркерлерінің (гемоглобин, гепсидин, ЭПО) семіздікпен байланыстағы маңызды рөлін көрсетеді. Бұл семіздіктің созылмалы қабыну процесімен және осы биомаркерлер деңгейлерінің өзгерістерімен байланысты екенін растайды. Модельдің жоғары болжамдық дәлдігі оны клиникалық қолдану және ерте диагностика үшін пайдалы құрал ретінде көрсетеді.</w:t>
      </w:r>
    </w:p>
    <w:p w14:paraId="0594D0F7">
      <w:pPr>
        <w:widowControl w:val="0"/>
        <w:autoSpaceDE w:val="0"/>
        <w:autoSpaceDN w:val="0"/>
        <w:spacing w:after="0" w:line="276" w:lineRule="auto"/>
        <w:ind w:firstLine="709"/>
        <w:jc w:val="both"/>
        <w:outlineLvl w:val="0"/>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ROC қисығының графигі (16–сурет) модельдің семіздікпен және семіздіксіз топтарды ажырату қабілетін көрсетеді. Қисық астындағы аумақ (AUC) 0,985–ке тең болды, бұл модельдің нәтижені болжаудағы жоғары дәлдігін көрсетеді. Бұл мән 1–ге жақын, модельдің жоғары сезімталдық пен ерекшелікке ие екенін білдіреді. Стандартты қате 0,008–ді құрады, бұл AUC бағасының төмен өзгергіштігін көрсетеді. Асимптотикалық p мәні &lt; 0,001, бұл нөлдік гипотезаны (AUC = 0,5) жоққа шығаруға мүмкіндік береді, яғни модельдің дискриминациялық қабілеті айтарлықтай маңызды екенін растайды. AUC үшін 95% сенімділік аралығы 0,970 – 1,000 арасында, бұл модельдің семіздікті болжаудағы сенімділігін қосымша растайды.</w:t>
      </w:r>
    </w:p>
    <w:p w14:paraId="392151D9">
      <w:pPr>
        <w:widowControl w:val="0"/>
        <w:autoSpaceDE w:val="0"/>
        <w:autoSpaceDN w:val="0"/>
        <w:spacing w:after="0" w:line="276" w:lineRule="auto"/>
        <w:ind w:firstLine="709"/>
        <w:jc w:val="both"/>
        <w:outlineLvl w:val="0"/>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 xml:space="preserve"> </w:t>
      </w:r>
    </w:p>
    <w:p w14:paraId="4E4DBB90">
      <w:pPr>
        <w:widowControl w:val="0"/>
        <w:autoSpaceDE w:val="0"/>
        <w:autoSpaceDN w:val="0"/>
        <w:spacing w:after="0" w:line="276" w:lineRule="auto"/>
        <w:jc w:val="both"/>
        <w:outlineLvl w:val="0"/>
        <w:rPr>
          <w:rFonts w:ascii="Times New Roman" w:hAnsi="Times New Roman" w:eastAsia="Times New Roman" w:cs="Times New Roman"/>
          <w:bCs/>
          <w:sz w:val="28"/>
          <w:szCs w:val="28"/>
          <w:lang w:eastAsia="ru-RU"/>
        </w:rPr>
      </w:pPr>
      <w:r>
        <w:rPr>
          <w:rFonts w:ascii="Times New Roman" w:hAnsi="Times New Roman" w:eastAsia="Times New Roman" w:cs="Times New Roman"/>
          <w:sz w:val="28"/>
          <w:szCs w:val="28"/>
          <w:lang w:eastAsia="ru-RU"/>
        </w:rPr>
        <w:drawing>
          <wp:inline distT="0" distB="0" distL="0" distR="0">
            <wp:extent cx="4921885" cy="3648710"/>
            <wp:effectExtent l="0" t="0" r="12065" b="8890"/>
            <wp:docPr id="111" name="Рисунок 111" descr="C:\Users\kgmuuser\AppData\Local\Temp\ksohtml7396\wps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Рисунок 111" descr="C:\Users\kgmuuser\AppData\Local\Temp\ksohtml7396\wps27.jp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a:xfrm>
                      <a:off x="0" y="0"/>
                      <a:ext cx="4921885" cy="3648710"/>
                    </a:xfrm>
                    <a:prstGeom prst="rect">
                      <a:avLst/>
                    </a:prstGeom>
                    <a:noFill/>
                    <a:ln>
                      <a:noFill/>
                    </a:ln>
                  </pic:spPr>
                </pic:pic>
              </a:graphicData>
            </a:graphic>
          </wp:inline>
        </w:drawing>
      </w:r>
      <w:r>
        <w:rPr>
          <w:rFonts w:ascii="Times New Roman" w:hAnsi="Times New Roman" w:eastAsia="Times New Roman" w:cs="Times New Roman"/>
          <w:bCs/>
          <w:sz w:val="28"/>
          <w:szCs w:val="28"/>
          <w:lang w:eastAsia="ru-RU"/>
        </w:rPr>
        <w:t xml:space="preserve"> </w:t>
      </w:r>
    </w:p>
    <w:p w14:paraId="172152F7">
      <w:pPr>
        <w:widowControl w:val="0"/>
        <w:autoSpaceDE w:val="0"/>
        <w:autoSpaceDN w:val="0"/>
        <w:spacing w:after="0" w:line="276" w:lineRule="auto"/>
        <w:ind w:firstLine="709"/>
        <w:jc w:val="both"/>
        <w:outlineLvl w:val="0"/>
        <w:rPr>
          <w:rFonts w:ascii="Times New Roman" w:hAnsi="Times New Roman" w:eastAsia="Times New Roman" w:cs="Times New Roman"/>
          <w:bCs/>
          <w:iCs/>
          <w:sz w:val="28"/>
          <w:szCs w:val="28"/>
          <w:lang w:eastAsia="ru-RU"/>
        </w:rPr>
      </w:pPr>
    </w:p>
    <w:p w14:paraId="7478846D">
      <w:pPr>
        <w:widowControl w:val="0"/>
        <w:autoSpaceDE w:val="0"/>
        <w:autoSpaceDN w:val="0"/>
        <w:spacing w:after="0" w:line="276" w:lineRule="auto"/>
        <w:ind w:firstLine="709"/>
        <w:jc w:val="both"/>
        <w:outlineLvl w:val="0"/>
        <w:rPr>
          <w:rFonts w:ascii="Times New Roman" w:hAnsi="Times New Roman" w:eastAsia="Times New Roman" w:cs="Times New Roman"/>
          <w:bCs/>
          <w:iCs/>
          <w:sz w:val="28"/>
          <w:szCs w:val="28"/>
          <w:lang w:eastAsia="ru-RU"/>
        </w:rPr>
      </w:pPr>
      <w:r>
        <w:rPr>
          <w:rFonts w:ascii="Times New Roman" w:hAnsi="Times New Roman" w:eastAsia="Times New Roman" w:cs="Times New Roman"/>
          <w:bCs/>
          <w:iCs/>
          <w:sz w:val="28"/>
          <w:szCs w:val="28"/>
          <w:lang w:eastAsia="ru-RU"/>
        </w:rPr>
        <w:t>Сурет–16. ROC қисығы (тәуелді айнымалы – семіздік)</w:t>
      </w:r>
    </w:p>
    <w:p w14:paraId="4E7D3A5D">
      <w:pPr>
        <w:widowControl w:val="0"/>
        <w:autoSpaceDE w:val="0"/>
        <w:autoSpaceDN w:val="0"/>
        <w:spacing w:after="0" w:line="276" w:lineRule="auto"/>
        <w:ind w:firstLine="709"/>
        <w:jc w:val="both"/>
        <w:outlineLvl w:val="0"/>
        <w:rPr>
          <w:rFonts w:ascii="Times New Roman" w:hAnsi="Times New Roman" w:eastAsia="Times New Roman" w:cs="Times New Roman"/>
          <w:bCs/>
          <w:iCs/>
          <w:sz w:val="28"/>
          <w:szCs w:val="28"/>
          <w:lang w:eastAsia="ru-RU"/>
        </w:rPr>
      </w:pPr>
      <w:r>
        <w:rPr>
          <w:rFonts w:ascii="Times New Roman" w:hAnsi="Times New Roman" w:eastAsia="Times New Roman" w:cs="Times New Roman"/>
          <w:bCs/>
          <w:iCs/>
          <w:sz w:val="28"/>
          <w:szCs w:val="28"/>
          <w:lang w:eastAsia="ru-RU"/>
        </w:rPr>
        <w:t xml:space="preserve"> </w:t>
      </w:r>
    </w:p>
    <w:p w14:paraId="3534E9DD">
      <w:pPr>
        <w:widowControl w:val="0"/>
        <w:autoSpaceDE w:val="0"/>
        <w:autoSpaceDN w:val="0"/>
        <w:spacing w:after="0" w:line="276" w:lineRule="auto"/>
        <w:ind w:firstLine="709"/>
        <w:jc w:val="both"/>
        <w:outlineLvl w:val="0"/>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Бұл нәтиже модельдің жоғары болжамдық құндылығы бар екенін және оны семіздік диагнозы мен пациенттерді классификациялау үшін тиімді қолдануға болатынын растайды.</w:t>
      </w:r>
    </w:p>
    <w:p w14:paraId="49FC823A">
      <w:pPr>
        <w:widowControl w:val="0"/>
        <w:autoSpaceDE w:val="0"/>
        <w:autoSpaceDN w:val="0"/>
        <w:spacing w:after="0" w:line="276" w:lineRule="auto"/>
        <w:ind w:firstLine="709"/>
        <w:jc w:val="both"/>
        <w:outlineLvl w:val="0"/>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ROC қисықтарын талдау нәтижесінде (17–сурет) негізгі маркерлер үшін AUC келесі көрсеткіштері алынды:</w:t>
      </w:r>
    </w:p>
    <w:p w14:paraId="771CB4B9">
      <w:pPr>
        <w:widowControl w:val="0"/>
        <w:autoSpaceDE w:val="0"/>
        <w:autoSpaceDN w:val="0"/>
        <w:spacing w:after="0" w:line="276" w:lineRule="auto"/>
        <w:ind w:firstLine="709"/>
        <w:jc w:val="both"/>
        <w:outlineLvl w:val="0"/>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Гепсидин (AUC = 0,728, p &lt; 0,001, 95% CI: 0,653–0,804): Гепсидин үшін қисық астындағы аумақ 0,728, бұл оның оң және теріс жағдайдағы топтарды ажыратудағы жоғары болжамдық қабілетін көрсетеді. Довериялық интервалдың 0,5 мәнін қамтымауы және 0,001 деңгейінде маңыздылығы бұл нәтижені сенімді етеді.</w:t>
      </w:r>
    </w:p>
    <w:p w14:paraId="234E0C41">
      <w:pPr>
        <w:widowControl w:val="0"/>
        <w:autoSpaceDE w:val="0"/>
        <w:autoSpaceDN w:val="0"/>
        <w:spacing w:after="0" w:line="276" w:lineRule="auto"/>
        <w:ind w:firstLine="709"/>
        <w:jc w:val="both"/>
        <w:outlineLvl w:val="0"/>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Эритропоэтин (AUC = 0,417, p = 0,065, 95% CI: 0,331–0,504) үшін қисық астындағы аумақ 0,417, бұл 0,5 шектік мәннен төмен. Бұл ЭПО–ның осы модельде болжамдық қабілетінің жоқтығын және топтарды ажыратуда маркер ретінде маңыздылығының төмен екенін көрсетеді. Довериялық интервалдың 0,5 мәніне жақындығы статистикалық маңыздылықтың жоқтығын растайды.</w:t>
      </w:r>
    </w:p>
    <w:p w14:paraId="0438D496">
      <w:pPr>
        <w:widowControl w:val="0"/>
        <w:autoSpaceDE w:val="0"/>
        <w:autoSpaceDN w:val="0"/>
        <w:spacing w:after="0" w:line="276" w:lineRule="auto"/>
        <w:ind w:firstLine="709"/>
        <w:jc w:val="both"/>
        <w:outlineLvl w:val="0"/>
        <w:rPr>
          <w:rFonts w:ascii="Times New Roman" w:hAnsi="Times New Roman" w:eastAsia="Times New Roman" w:cs="Times New Roman"/>
          <w:bCs/>
          <w:sz w:val="28"/>
          <w:szCs w:val="28"/>
          <w:lang w:eastAsia="ru-RU"/>
        </w:rPr>
      </w:pPr>
    </w:p>
    <w:p w14:paraId="13403019">
      <w:pPr>
        <w:widowControl w:val="0"/>
        <w:autoSpaceDE w:val="0"/>
        <w:autoSpaceDN w:val="0"/>
        <w:spacing w:after="0" w:line="276" w:lineRule="auto"/>
        <w:ind w:firstLine="709"/>
        <w:jc w:val="both"/>
        <w:outlineLvl w:val="0"/>
        <w:rPr>
          <w:rFonts w:ascii="Times New Roman" w:hAnsi="Times New Roman" w:eastAsia="Times New Roman" w:cs="Times New Roman"/>
          <w:bCs/>
          <w:sz w:val="28"/>
          <w:szCs w:val="28"/>
          <w:highlight w:val="yellow"/>
          <w:lang w:eastAsia="ru-RU"/>
        </w:rPr>
      </w:pPr>
      <w:r>
        <w:rPr>
          <w:rFonts w:ascii="Times New Roman" w:hAnsi="Times New Roman" w:eastAsia="Times New Roman" w:cs="Times New Roman"/>
          <w:sz w:val="28"/>
          <w:szCs w:val="28"/>
          <w:lang w:eastAsia="ru-RU"/>
        </w:rPr>
        <w:drawing>
          <wp:inline distT="0" distB="0" distL="0" distR="0">
            <wp:extent cx="5470525" cy="4158615"/>
            <wp:effectExtent l="0" t="0" r="15875" b="13335"/>
            <wp:docPr id="112" name="Рисунок 112" descr="C:\Users\kgmuuser\AppData\Local\Temp\ksohtml7396\wps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Рисунок 112" descr="C:\Users\kgmuuser\AppData\Local\Temp\ksohtml7396\wps28.jp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a:xfrm>
                      <a:off x="0" y="0"/>
                      <a:ext cx="5470525" cy="4158615"/>
                    </a:xfrm>
                    <a:prstGeom prst="rect">
                      <a:avLst/>
                    </a:prstGeom>
                    <a:noFill/>
                    <a:ln>
                      <a:noFill/>
                    </a:ln>
                  </pic:spPr>
                </pic:pic>
              </a:graphicData>
            </a:graphic>
          </wp:inline>
        </w:drawing>
      </w:r>
    </w:p>
    <w:p w14:paraId="2081EC00">
      <w:pPr>
        <w:widowControl w:val="0"/>
        <w:autoSpaceDE w:val="0"/>
        <w:autoSpaceDN w:val="0"/>
        <w:spacing w:after="0" w:line="276" w:lineRule="auto"/>
        <w:ind w:firstLine="709"/>
        <w:jc w:val="both"/>
        <w:outlineLvl w:val="0"/>
        <w:rPr>
          <w:rFonts w:ascii="Times New Roman" w:hAnsi="Times New Roman" w:eastAsia="Times New Roman" w:cs="Times New Roman"/>
          <w:bCs/>
          <w:iCs/>
          <w:sz w:val="28"/>
          <w:szCs w:val="28"/>
          <w:lang w:eastAsia="ru-RU"/>
        </w:rPr>
      </w:pPr>
    </w:p>
    <w:p w14:paraId="33478954">
      <w:pPr>
        <w:widowControl w:val="0"/>
        <w:autoSpaceDE w:val="0"/>
        <w:autoSpaceDN w:val="0"/>
        <w:spacing w:after="0" w:line="276" w:lineRule="auto"/>
        <w:ind w:firstLine="709"/>
        <w:jc w:val="both"/>
        <w:outlineLvl w:val="0"/>
        <w:rPr>
          <w:rFonts w:ascii="Times New Roman" w:hAnsi="Times New Roman" w:eastAsia="Times New Roman" w:cs="Times New Roman"/>
          <w:bCs/>
          <w:i/>
          <w:sz w:val="28"/>
          <w:szCs w:val="28"/>
          <w:lang w:eastAsia="ru-RU"/>
        </w:rPr>
      </w:pPr>
      <w:r>
        <w:rPr>
          <w:rFonts w:ascii="Times New Roman" w:hAnsi="Times New Roman" w:eastAsia="Times New Roman" w:cs="Times New Roman"/>
          <w:bCs/>
          <w:iCs/>
          <w:sz w:val="28"/>
          <w:szCs w:val="28"/>
          <w:lang w:eastAsia="ru-RU"/>
        </w:rPr>
        <w:t>Сурет – 17. ROC қисығы негізгі маркерлер бойынша (тәуелді айнымалы – семіздік</w:t>
      </w:r>
      <w:r>
        <w:rPr>
          <w:rFonts w:ascii="Times New Roman" w:hAnsi="Times New Roman" w:eastAsia="Times New Roman" w:cs="Times New Roman"/>
          <w:bCs/>
          <w:i/>
          <w:sz w:val="28"/>
          <w:szCs w:val="28"/>
          <w:lang w:eastAsia="ru-RU"/>
        </w:rPr>
        <w:t>)</w:t>
      </w:r>
    </w:p>
    <w:p w14:paraId="5A6C2060">
      <w:pPr>
        <w:widowControl w:val="0"/>
        <w:autoSpaceDE w:val="0"/>
        <w:autoSpaceDN w:val="0"/>
        <w:spacing w:after="0" w:line="276" w:lineRule="auto"/>
        <w:ind w:firstLine="709"/>
        <w:jc w:val="both"/>
        <w:outlineLvl w:val="0"/>
        <w:rPr>
          <w:rFonts w:ascii="Times New Roman" w:hAnsi="Times New Roman" w:eastAsia="Times New Roman" w:cs="Times New Roman"/>
          <w:bCs/>
          <w:i/>
          <w:sz w:val="28"/>
          <w:szCs w:val="28"/>
          <w:lang w:eastAsia="ru-RU"/>
        </w:rPr>
      </w:pPr>
      <w:r>
        <w:rPr>
          <w:rFonts w:ascii="Times New Roman" w:hAnsi="Times New Roman" w:eastAsia="Times New Roman" w:cs="Times New Roman"/>
          <w:bCs/>
          <w:i/>
          <w:sz w:val="28"/>
          <w:szCs w:val="28"/>
          <w:lang w:eastAsia="ru-RU"/>
        </w:rPr>
        <w:t xml:space="preserve"> </w:t>
      </w:r>
    </w:p>
    <w:p w14:paraId="0122D9F2">
      <w:pPr>
        <w:widowControl w:val="0"/>
        <w:autoSpaceDE w:val="0"/>
        <w:autoSpaceDN w:val="0"/>
        <w:spacing w:after="0" w:line="276" w:lineRule="auto"/>
        <w:ind w:firstLine="709"/>
        <w:jc w:val="both"/>
        <w:outlineLvl w:val="0"/>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СРА (AUC = 0,756, p &lt; 0,001, 95% CI: 0,684–0,829) үшін қисық астындағы аумақ 0,756, бұл маркердің жақсы болжамдық қабілетін көрсетеді. Статистикалық маңызды нәтиже (p &lt; 0,001) және 0,5–тен жоғары 95% сенімділік интервал бұл маркердің болжамдағы маңыздылығын растайды.</w:t>
      </w:r>
    </w:p>
    <w:p w14:paraId="310FCEF0">
      <w:pPr>
        <w:widowControl w:val="0"/>
        <w:autoSpaceDE w:val="0"/>
        <w:autoSpaceDN w:val="0"/>
        <w:spacing w:after="0" w:line="276" w:lineRule="auto"/>
        <w:ind w:firstLine="709"/>
        <w:jc w:val="both"/>
        <w:outlineLvl w:val="0"/>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ИЛ–6 (AUC = 0,817, p &lt; 0,001, 95% CI: 0,753–0,881) ең жоғары нәтижелерді көрсетті, AUC мәні 0,817–ге тең, бұл оның болжамдық қабілетінің жоғары екенін білдіреді. 0,5–тен едәуір жоғары сенімділік интервал оның статистикалық маңыздылығы мен сенімділігін растайды.</w:t>
      </w:r>
    </w:p>
    <w:p w14:paraId="4682A59B">
      <w:pPr>
        <w:widowControl w:val="0"/>
        <w:autoSpaceDE w:val="0"/>
        <w:autoSpaceDN w:val="0"/>
        <w:spacing w:after="0" w:line="276" w:lineRule="auto"/>
        <w:ind w:firstLine="709"/>
        <w:jc w:val="both"/>
        <w:outlineLvl w:val="0"/>
        <w:rPr>
          <w:rFonts w:ascii="Times New Roman" w:hAnsi="Times New Roman" w:eastAsia="Times New Roman" w:cs="Times New Roman"/>
          <w:bCs/>
          <w:sz w:val="28"/>
          <w:szCs w:val="28"/>
          <w:lang w:eastAsia="ru-RU"/>
        </w:rPr>
      </w:pPr>
      <w:r>
        <w:rPr>
          <w:rFonts w:ascii="Times New Roman" w:hAnsi="Times New Roman" w:eastAsia="Times New Roman" w:cs="Times New Roman"/>
          <w:sz w:val="28"/>
          <w:szCs w:val="28"/>
          <w:lang w:eastAsia="ru-RU"/>
        </w:rPr>
        <w:drawing>
          <wp:inline distT="0" distB="0" distL="0" distR="0">
            <wp:extent cx="13970" cy="13970"/>
            <wp:effectExtent l="0" t="0" r="0" b="0"/>
            <wp:docPr id="113" name="Рисунок 113" descr="C:\Users\kgmuuser\AppData\Local\Temp\ksohtml7396\wps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Рисунок 113" descr="C:\Users\kgmuuser\AppData\Local\Temp\ksohtml7396\wps29.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13970" cy="13970"/>
                    </a:xfrm>
                    <a:prstGeom prst="rect">
                      <a:avLst/>
                    </a:prstGeom>
                    <a:noFill/>
                    <a:ln>
                      <a:noFill/>
                    </a:ln>
                  </pic:spPr>
                </pic:pic>
              </a:graphicData>
            </a:graphic>
          </wp:inline>
        </w:drawing>
      </w:r>
      <w:r>
        <w:rPr>
          <w:rFonts w:ascii="Times New Roman" w:hAnsi="Times New Roman" w:eastAsia="Times New Roman" w:cs="Times New Roman"/>
          <w:bCs/>
          <w:sz w:val="28"/>
          <w:szCs w:val="28"/>
          <w:lang w:eastAsia="ru-RU"/>
        </w:rPr>
        <w:t>Аталған предикторлар ішінде ИЛ–6 және СРА ең жоғары болжамдық қабілетті көрсетіп, AUC мәндері 0,7–ден едәуір жоғары болып, оң жағдайдағы топтарды анықтауда маңызды рөл атқаратынын көрсетті. Гепсидин де жоғары болжамдық қабілетті көрсетті, бірақ ИЛ–6 және СРА көрсеткіштерінен сәл төмен. ЭПО керісінше, айтарлықтай ажырату қабілетін көрсетпеді және бұл контексте пайдалы предиктор болмауы мүмкін.</w:t>
      </w:r>
    </w:p>
    <w:p w14:paraId="1D17F72D">
      <w:pPr>
        <w:widowControl w:val="0"/>
        <w:autoSpaceDE w:val="0"/>
        <w:autoSpaceDN w:val="0"/>
        <w:spacing w:after="0" w:line="276" w:lineRule="auto"/>
        <w:ind w:firstLine="709"/>
        <w:jc w:val="both"/>
        <w:outlineLvl w:val="0"/>
        <w:rPr>
          <w:rFonts w:ascii="Times New Roman" w:hAnsi="Times New Roman" w:eastAsia="Times New Roman" w:cs="Times New Roman"/>
          <w:b/>
          <w:bCs/>
          <w:sz w:val="28"/>
          <w:szCs w:val="28"/>
          <w:lang w:eastAsia="ru-RU"/>
        </w:rPr>
      </w:pPr>
      <w:r>
        <w:rPr>
          <w:rFonts w:ascii="Times New Roman" w:hAnsi="Times New Roman" w:eastAsia="Times New Roman" w:cs="Times New Roman"/>
          <w:b/>
          <w:bCs/>
          <w:sz w:val="28"/>
          <w:szCs w:val="28"/>
          <w:lang w:eastAsia="ru-RU"/>
        </w:rPr>
        <w:t xml:space="preserve"> </w:t>
      </w:r>
    </w:p>
    <w:p w14:paraId="3B723CA2">
      <w:pPr>
        <w:widowControl w:val="0"/>
        <w:autoSpaceDE w:val="0"/>
        <w:autoSpaceDN w:val="0"/>
        <w:spacing w:after="0" w:line="276" w:lineRule="auto"/>
        <w:ind w:firstLine="709"/>
        <w:jc w:val="both"/>
        <w:outlineLvl w:val="0"/>
        <w:rPr>
          <w:rFonts w:ascii="Times New Roman" w:hAnsi="Times New Roman" w:eastAsia="Times New Roman" w:cs="Times New Roman"/>
          <w:b/>
          <w:bCs/>
          <w:sz w:val="28"/>
          <w:szCs w:val="28"/>
          <w:lang w:eastAsia="ru-RU"/>
        </w:rPr>
      </w:pPr>
    </w:p>
    <w:p w14:paraId="288CF10A">
      <w:pPr>
        <w:widowControl w:val="0"/>
        <w:autoSpaceDE w:val="0"/>
        <w:autoSpaceDN w:val="0"/>
        <w:spacing w:after="0" w:line="276" w:lineRule="auto"/>
        <w:ind w:firstLine="709"/>
        <w:jc w:val="both"/>
        <w:outlineLvl w:val="0"/>
        <w:rPr>
          <w:rFonts w:ascii="Times New Roman" w:hAnsi="Times New Roman" w:eastAsia="Times New Roman" w:cs="Times New Roman"/>
          <w:b/>
          <w:sz w:val="28"/>
          <w:szCs w:val="28"/>
          <w:lang w:eastAsia="ru-RU"/>
        </w:rPr>
      </w:pPr>
      <w:r>
        <w:rPr>
          <w:rFonts w:ascii="Times New Roman" w:hAnsi="Times New Roman" w:eastAsia="Times New Roman" w:cs="Times New Roman"/>
          <w:b/>
          <w:bCs/>
          <w:sz w:val="28"/>
          <w:szCs w:val="28"/>
          <w:lang w:eastAsia="ru-RU"/>
        </w:rPr>
        <w:t xml:space="preserve">3.8 </w:t>
      </w:r>
      <w:r>
        <w:rPr>
          <w:rFonts w:ascii="Times New Roman" w:hAnsi="Times New Roman" w:eastAsia="Times New Roman" w:cs="Times New Roman"/>
          <w:b/>
          <w:sz w:val="28"/>
          <w:szCs w:val="28"/>
          <w:lang w:eastAsia="ru-RU"/>
        </w:rPr>
        <w:t>Анемия ықтималдығына әсер ететін предикторларды анықтау: логистикалық регрессия нәтижелері және модельдің прогностикалық сапасын бағалау</w:t>
      </w:r>
    </w:p>
    <w:p w14:paraId="4207CC79">
      <w:pPr>
        <w:widowControl w:val="0"/>
        <w:autoSpaceDE w:val="0"/>
        <w:autoSpaceDN w:val="0"/>
        <w:spacing w:after="0" w:line="276" w:lineRule="auto"/>
        <w:ind w:firstLine="709"/>
        <w:jc w:val="both"/>
        <w:outlineLvl w:val="0"/>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eastAsia="ru-RU"/>
        </w:rPr>
        <w:t xml:space="preserve"> </w:t>
      </w:r>
    </w:p>
    <w:p w14:paraId="403C0E81">
      <w:pPr>
        <w:widowControl w:val="0"/>
        <w:autoSpaceDE w:val="0"/>
        <w:autoSpaceDN w:val="0"/>
        <w:spacing w:after="0" w:line="276" w:lineRule="auto"/>
        <w:ind w:firstLine="709"/>
        <w:jc w:val="both"/>
        <w:outlineLvl w:val="0"/>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Логистикалық регрессия анализі анемия ықтималдығына әсер ететін әртүрлі предикторлардың статистикалық маңызды көрсеткіштерін анықталды. Модельдің хи–квадрат мәні 81,425 болды, еркіндік дәрежесі 7 және маңыздылығы p &lt; 0,001, бұл модельдің деректерге жақсы сәйкес келетінін көрсетеді. Псевдо–R–квадрат көрсеткіштері Кокс–Снелл R–квадраты үшін 0,386, ал Нэйджелкерка R–квадраты үшін 0,516 мәндеріне тең болды. Бұл модельдің тәуелді айнымалының (анемияның) вариациясын шамамен 51,6%–ға түсіндіретінін білдіреді. Хосмер–Лемешов тесті бойынша болжанған және бақылаудағы мәндер арасында айтарлықтай айырмашылық жоқ (Хи–квадрат = 13,125, p = 0,108), бұл модельдің деректермен жақсы үйлесетінін растайды. Модельдің бақылауларды классификациялаудағы дәлдігі 77,8%–ды құрады. Анемиясы жоқ жағдайларды дұрыс анықтау ықтималдығы 83,5%, ал анемиямен байланысты жағдайларды дұрыс анықтау 71,1% болды.</w:t>
      </w:r>
    </w:p>
    <w:p w14:paraId="5B054ED1">
      <w:pPr>
        <w:widowControl w:val="0"/>
        <w:autoSpaceDE w:val="0"/>
        <w:autoSpaceDN w:val="0"/>
        <w:spacing w:after="0" w:line="276" w:lineRule="auto"/>
        <w:ind w:firstLine="709"/>
        <w:jc w:val="both"/>
        <w:outlineLvl w:val="0"/>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Жекелеген предикторлардың әсері: гепсидин коэффициенті 0,002 (p &lt; 0,001), бұл анемиямен оң және статистикалық маңызды ассоциация бар екенін көрсетеді. Exp(B) = 1,003, яғни гепсидин деңгейінің бір бірлікке артуы анемия ықтималдығын 0,3%–ға арттырады, ДСИ коэффициенті –0,167 (p = 0,029), Exp(B) = 0,846, бұл ДСИ мен анемия арасында теріс байланыс бар екенін көрсетеді — ДСИ артқан сайын анемия ықтималдығы азаяды. СРА коэффициенті –0,126 (p = 0,032), Exp(B) = 0,882, бұл СРА деңгейінің жоғарылауы анемия ықтималдығының төмендеуімен байланысты екенін көрсетеді. ИЛ–6 коэффициенті 0,255 (p = 0,002), Exp(B) = 1,291, бұл анемиямен маңызды оң байланысты көрсетеді. ИЛ–6 деңгейінің бір бірлікке жоғарылауы анемия ықтималдығын 29,1%–ға арттырады.</w:t>
      </w:r>
    </w:p>
    <w:p w14:paraId="75AD8D9A">
      <w:pPr>
        <w:widowControl w:val="0"/>
        <w:autoSpaceDE w:val="0"/>
        <w:autoSpaceDN w:val="0"/>
        <w:spacing w:after="0" w:line="276" w:lineRule="auto"/>
        <w:ind w:firstLine="709"/>
        <w:jc w:val="both"/>
        <w:outlineLvl w:val="0"/>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Басқа предикторлар (p &gt; 0,05) анемия ықтималдығына статистикалық маңызды әсер көрсетпеді. Нәтижелер гепсидин мен ИЛ–6 деңгейлерінің анемияның маңызды предикторлары екенін, ал СРА және ДСИ анемиямен теріс байланысты екенін көрсетті. Бұл нәтижелер анемияның қабыну және метаболизм процестерімен байланысын растайды, мұнда гепсидин мен ИЛ–6 маңызды рөл атқарады. Прогностикалық модельдің сапасын бағалау үшін (18–сурет) ROC қисығының астындағы аумақ, стандартты қате, маңыздылық деңгейі және сенімділік интервалы сияқты параметрлер талданды.</w:t>
      </w:r>
    </w:p>
    <w:p w14:paraId="1E1E3972">
      <w:pPr>
        <w:widowControl w:val="0"/>
        <w:autoSpaceDE w:val="0"/>
        <w:autoSpaceDN w:val="0"/>
        <w:spacing w:after="0" w:line="276" w:lineRule="auto"/>
        <w:ind w:firstLine="709"/>
        <w:jc w:val="both"/>
        <w:outlineLvl w:val="0"/>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 xml:space="preserve">Бұл көрсеткіштер модельдің классификациялау қабілетін және шынайы деректер жағдайында болжамдық қуатын объективті бағалауға мүмкіндік береді. AUC және сәйкес статистикалық мәндерді талдау нәтижелері модельдің жоғары дәлдігі мен сенімділігін көрсетеді, бұл келесі мәліметтермен расталады. </w:t>
      </w:r>
    </w:p>
    <w:p w14:paraId="088E7E7E">
      <w:pPr>
        <w:widowControl w:val="0"/>
        <w:autoSpaceDE w:val="0"/>
        <w:autoSpaceDN w:val="0"/>
        <w:spacing w:after="0" w:line="276" w:lineRule="auto"/>
        <w:ind w:firstLine="709"/>
        <w:jc w:val="both"/>
        <w:outlineLvl w:val="0"/>
        <w:rPr>
          <w:rFonts w:ascii="Times New Roman" w:hAnsi="Times New Roman" w:eastAsia="Times New Roman" w:cs="Times New Roman"/>
          <w:bCs/>
          <w:sz w:val="28"/>
          <w:szCs w:val="28"/>
          <w:lang w:eastAsia="ru-RU"/>
        </w:rPr>
      </w:pPr>
    </w:p>
    <w:p w14:paraId="5D976477">
      <w:pPr>
        <w:widowControl w:val="0"/>
        <w:autoSpaceDE w:val="0"/>
        <w:autoSpaceDN w:val="0"/>
        <w:spacing w:after="0" w:line="276" w:lineRule="auto"/>
        <w:jc w:val="both"/>
        <w:outlineLvl w:val="0"/>
        <w:rPr>
          <w:rFonts w:ascii="Times New Roman" w:hAnsi="Times New Roman" w:eastAsia="Times New Roman" w:cs="Times New Roman"/>
          <w:bCs/>
          <w:sz w:val="28"/>
          <w:szCs w:val="28"/>
          <w:lang w:eastAsia="ru-RU"/>
        </w:rPr>
      </w:pPr>
      <w:r>
        <w:rPr>
          <w:rFonts w:ascii="Times New Roman" w:hAnsi="Times New Roman" w:eastAsia="Times New Roman" w:cs="Times New Roman"/>
          <w:sz w:val="28"/>
          <w:szCs w:val="28"/>
          <w:lang w:eastAsia="ru-RU"/>
        </w:rPr>
        <w:drawing>
          <wp:inline distT="0" distB="0" distL="0" distR="0">
            <wp:extent cx="5621655" cy="4272280"/>
            <wp:effectExtent l="0" t="0" r="17145" b="13970"/>
            <wp:docPr id="114" name="Рисунок 114" descr="C:\Users\kgmuuser\AppData\Local\Temp\ksohtml7396\wps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Рисунок 114" descr="C:\Users\kgmuuser\AppData\Local\Temp\ksohtml7396\wps30.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a:xfrm>
                      <a:off x="0" y="0"/>
                      <a:ext cx="5621655" cy="4272280"/>
                    </a:xfrm>
                    <a:prstGeom prst="rect">
                      <a:avLst/>
                    </a:prstGeom>
                    <a:noFill/>
                    <a:ln>
                      <a:noFill/>
                    </a:ln>
                  </pic:spPr>
                </pic:pic>
              </a:graphicData>
            </a:graphic>
          </wp:inline>
        </w:drawing>
      </w:r>
      <w:r>
        <w:rPr>
          <w:rFonts w:ascii="Times New Roman" w:hAnsi="Times New Roman" w:eastAsia="Times New Roman" w:cs="Times New Roman"/>
          <w:bCs/>
          <w:sz w:val="28"/>
          <w:szCs w:val="28"/>
          <w:lang w:eastAsia="ru-RU"/>
        </w:rPr>
        <w:t xml:space="preserve"> </w:t>
      </w:r>
    </w:p>
    <w:p w14:paraId="13F60805">
      <w:pPr>
        <w:widowControl w:val="0"/>
        <w:autoSpaceDE w:val="0"/>
        <w:autoSpaceDN w:val="0"/>
        <w:spacing w:after="0" w:line="276" w:lineRule="auto"/>
        <w:ind w:firstLine="709"/>
        <w:jc w:val="both"/>
        <w:outlineLvl w:val="0"/>
        <w:rPr>
          <w:rFonts w:ascii="Times New Roman" w:hAnsi="Times New Roman" w:eastAsia="Times New Roman" w:cs="Times New Roman"/>
          <w:bCs/>
          <w:iCs/>
          <w:sz w:val="28"/>
          <w:szCs w:val="28"/>
          <w:lang w:eastAsia="ru-RU"/>
        </w:rPr>
      </w:pPr>
    </w:p>
    <w:p w14:paraId="609E52AC">
      <w:pPr>
        <w:widowControl w:val="0"/>
        <w:autoSpaceDE w:val="0"/>
        <w:autoSpaceDN w:val="0"/>
        <w:spacing w:after="0" w:line="276" w:lineRule="auto"/>
        <w:ind w:firstLine="709"/>
        <w:jc w:val="both"/>
        <w:outlineLvl w:val="0"/>
        <w:rPr>
          <w:rFonts w:ascii="Times New Roman" w:hAnsi="Times New Roman" w:eastAsia="Times New Roman" w:cs="Times New Roman"/>
          <w:bCs/>
          <w:iCs/>
          <w:sz w:val="28"/>
          <w:szCs w:val="28"/>
          <w:lang w:eastAsia="ru-RU"/>
        </w:rPr>
      </w:pPr>
      <w:r>
        <w:rPr>
          <w:rFonts w:ascii="Times New Roman" w:hAnsi="Times New Roman" w:eastAsia="Times New Roman" w:cs="Times New Roman"/>
          <w:bCs/>
          <w:iCs/>
          <w:sz w:val="28"/>
          <w:szCs w:val="28"/>
          <w:lang w:eastAsia="ru-RU"/>
        </w:rPr>
        <w:t>Сурет – 18. ROC қисығы (тәуелді айнымалы – анемия)</w:t>
      </w:r>
    </w:p>
    <w:p w14:paraId="34D68CCB">
      <w:pPr>
        <w:widowControl w:val="0"/>
        <w:autoSpaceDE w:val="0"/>
        <w:autoSpaceDN w:val="0"/>
        <w:spacing w:after="0" w:line="276" w:lineRule="auto"/>
        <w:ind w:firstLine="709"/>
        <w:jc w:val="both"/>
        <w:outlineLvl w:val="0"/>
        <w:rPr>
          <w:rFonts w:ascii="Times New Roman" w:hAnsi="Times New Roman" w:eastAsia="Times New Roman" w:cs="Times New Roman"/>
          <w:bCs/>
          <w:iCs/>
          <w:sz w:val="28"/>
          <w:szCs w:val="28"/>
          <w:lang w:eastAsia="ru-RU"/>
        </w:rPr>
      </w:pPr>
      <w:r>
        <w:rPr>
          <w:rFonts w:ascii="Times New Roman" w:hAnsi="Times New Roman" w:eastAsia="Times New Roman" w:cs="Times New Roman"/>
          <w:bCs/>
          <w:iCs/>
          <w:sz w:val="28"/>
          <w:szCs w:val="28"/>
          <w:lang w:eastAsia="ru-RU"/>
        </w:rPr>
        <w:t xml:space="preserve"> </w:t>
      </w:r>
    </w:p>
    <w:p w14:paraId="25E40856">
      <w:pPr>
        <w:widowControl w:val="0"/>
        <w:autoSpaceDE w:val="0"/>
        <w:autoSpaceDN w:val="0"/>
        <w:spacing w:after="0" w:line="276" w:lineRule="auto"/>
        <w:ind w:firstLine="709"/>
        <w:jc w:val="both"/>
        <w:outlineLvl w:val="0"/>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дәлдігі мен сенімділігін көрсетеді, бұл келесі мәліметтермен расталады. AUC мәні 0,864–ке тең, бұл модельдің оң және теріс нәтижелерді ажыратудағы жақсы қабілетін көрсетеді. AUC стандартты қатесі 0,028, бұл алынған бағалаудың тұрақтылығын көрсетеді. p–мәні 0,000, бұл модельдің статистикалық маңызды екенін білдіреді (p &lt; 0,001). AUC үшін 95% сенімділік интервал 0,810–нан 0,918–ге дейінгі диапазонда, бұл модельдің нәтижелерді болжауда жоғары дәлдік пен сенімділікке ие екенін растайды. Жалпы, жоғары маңыздылық деңгейі (p &lt; 0,001) және 0,8–ден жоғары AUC мәні модельдің күшті болжамдық қабілетке ие екенін және клиникалық маңызды нәтижелерді болжау үшін пайдалы болуы мүмкін екенін көрсетеді.</w:t>
      </w:r>
    </w:p>
    <w:p w14:paraId="382094BF">
      <w:pPr>
        <w:widowControl w:val="0"/>
        <w:autoSpaceDE w:val="0"/>
        <w:autoSpaceDN w:val="0"/>
        <w:spacing w:after="0" w:line="276" w:lineRule="auto"/>
        <w:ind w:firstLine="709"/>
        <w:jc w:val="both"/>
        <w:outlineLvl w:val="0"/>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Диагностикалық предикторлардың сапасын бағалау үшін (19–сурет) Гепсидин, ЭПО, СРА, ИЛ–6 және Ферритин маркерлеріне арналған ROC қисықтары тұрғызылды.</w:t>
      </w:r>
    </w:p>
    <w:p w14:paraId="54F7447E">
      <w:pPr>
        <w:widowControl w:val="0"/>
        <w:autoSpaceDE w:val="0"/>
        <w:autoSpaceDN w:val="0"/>
        <w:spacing w:after="0" w:line="276" w:lineRule="auto"/>
        <w:ind w:firstLine="709"/>
        <w:jc w:val="both"/>
        <w:outlineLvl w:val="0"/>
        <w:rPr>
          <w:rFonts w:ascii="Times New Roman" w:hAnsi="Times New Roman" w:eastAsia="Times New Roman" w:cs="Times New Roman"/>
          <w:bCs/>
          <w:sz w:val="28"/>
          <w:szCs w:val="28"/>
          <w:lang w:eastAsia="ru-RU"/>
        </w:rPr>
      </w:pPr>
    </w:p>
    <w:p w14:paraId="2D0B7F33">
      <w:pPr>
        <w:widowControl w:val="0"/>
        <w:autoSpaceDE w:val="0"/>
        <w:autoSpaceDN w:val="0"/>
        <w:spacing w:after="0" w:line="276" w:lineRule="auto"/>
        <w:ind w:firstLine="709"/>
        <w:jc w:val="both"/>
        <w:outlineLvl w:val="0"/>
        <w:rPr>
          <w:rFonts w:ascii="Times New Roman" w:hAnsi="Times New Roman" w:eastAsia="Times New Roman" w:cs="Times New Roman"/>
          <w:bCs/>
          <w:sz w:val="28"/>
          <w:szCs w:val="28"/>
          <w:lang w:eastAsia="ru-RU"/>
        </w:rPr>
      </w:pPr>
      <w:r>
        <w:rPr>
          <w:rFonts w:ascii="Times New Roman" w:hAnsi="Times New Roman" w:eastAsia="Times New Roman" w:cs="Times New Roman"/>
          <w:sz w:val="28"/>
          <w:szCs w:val="28"/>
          <w:lang w:eastAsia="ru-RU"/>
        </w:rPr>
        <w:drawing>
          <wp:inline distT="0" distB="0" distL="0" distR="0">
            <wp:extent cx="5527675" cy="4128770"/>
            <wp:effectExtent l="0" t="0" r="0" b="5080"/>
            <wp:docPr id="115" name="Рисунок 115" descr="C:\Users\kgmuuser\AppData\Local\Temp\ksohtml7396\wps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Рисунок 115" descr="C:\Users\kgmuuser\AppData\Local\Temp\ksohtml7396\wps31.jp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a:xfrm>
                      <a:off x="0" y="0"/>
                      <a:ext cx="5527675" cy="4128770"/>
                    </a:xfrm>
                    <a:prstGeom prst="rect">
                      <a:avLst/>
                    </a:prstGeom>
                    <a:noFill/>
                    <a:ln>
                      <a:noFill/>
                    </a:ln>
                  </pic:spPr>
                </pic:pic>
              </a:graphicData>
            </a:graphic>
          </wp:inline>
        </w:drawing>
      </w:r>
    </w:p>
    <w:p w14:paraId="2D1B90CF">
      <w:pPr>
        <w:widowControl w:val="0"/>
        <w:autoSpaceDE w:val="0"/>
        <w:autoSpaceDN w:val="0"/>
        <w:spacing w:after="0" w:line="276" w:lineRule="auto"/>
        <w:ind w:firstLine="709"/>
        <w:jc w:val="both"/>
        <w:outlineLvl w:val="0"/>
        <w:rPr>
          <w:rFonts w:ascii="Times New Roman" w:hAnsi="Times New Roman" w:eastAsia="Times New Roman" w:cs="Times New Roman"/>
          <w:bCs/>
          <w:iCs/>
          <w:sz w:val="28"/>
          <w:szCs w:val="28"/>
          <w:lang w:eastAsia="ru-RU"/>
        </w:rPr>
      </w:pPr>
    </w:p>
    <w:p w14:paraId="158F2167">
      <w:pPr>
        <w:widowControl w:val="0"/>
        <w:autoSpaceDE w:val="0"/>
        <w:autoSpaceDN w:val="0"/>
        <w:spacing w:after="0" w:line="276" w:lineRule="auto"/>
        <w:ind w:firstLine="709"/>
        <w:jc w:val="both"/>
        <w:outlineLvl w:val="0"/>
        <w:rPr>
          <w:rFonts w:ascii="Times New Roman" w:hAnsi="Times New Roman" w:eastAsia="Times New Roman" w:cs="Times New Roman"/>
          <w:bCs/>
          <w:iCs/>
          <w:sz w:val="28"/>
          <w:szCs w:val="28"/>
          <w:lang w:eastAsia="ru-RU"/>
        </w:rPr>
      </w:pPr>
      <w:r>
        <w:rPr>
          <w:rFonts w:ascii="Times New Roman" w:hAnsi="Times New Roman" w:eastAsia="Times New Roman" w:cs="Times New Roman"/>
          <w:bCs/>
          <w:iCs/>
          <w:sz w:val="28"/>
          <w:szCs w:val="28"/>
          <w:lang w:eastAsia="ru-RU"/>
        </w:rPr>
        <w:t>Сурет – 19. ROC қисығы негізгі маркерлер бойынша (тәуелді айнымалы – анемия)</w:t>
      </w:r>
    </w:p>
    <w:p w14:paraId="2F013BD8">
      <w:pPr>
        <w:widowControl w:val="0"/>
        <w:autoSpaceDE w:val="0"/>
        <w:autoSpaceDN w:val="0"/>
        <w:spacing w:after="0" w:line="276" w:lineRule="auto"/>
        <w:ind w:firstLine="709"/>
        <w:jc w:val="both"/>
        <w:outlineLvl w:val="0"/>
        <w:rPr>
          <w:rFonts w:ascii="Times New Roman" w:hAnsi="Times New Roman" w:eastAsia="Times New Roman" w:cs="Times New Roman"/>
          <w:bCs/>
          <w:i/>
          <w:sz w:val="28"/>
          <w:szCs w:val="28"/>
          <w:lang w:eastAsia="ru-RU"/>
        </w:rPr>
      </w:pPr>
      <w:r>
        <w:rPr>
          <w:rFonts w:ascii="Times New Roman" w:hAnsi="Times New Roman" w:eastAsia="Times New Roman" w:cs="Times New Roman"/>
          <w:bCs/>
          <w:i/>
          <w:sz w:val="28"/>
          <w:szCs w:val="28"/>
          <w:lang w:eastAsia="ru-RU"/>
        </w:rPr>
        <w:t xml:space="preserve"> </w:t>
      </w:r>
    </w:p>
    <w:p w14:paraId="5D6195A0">
      <w:pPr>
        <w:widowControl w:val="0"/>
        <w:autoSpaceDE w:val="0"/>
        <w:autoSpaceDN w:val="0"/>
        <w:spacing w:after="0" w:line="276" w:lineRule="auto"/>
        <w:ind w:firstLine="709"/>
        <w:jc w:val="both"/>
        <w:outlineLvl w:val="0"/>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ROC қисығы әрбір маркердің сезімталдығы мен ерекшелігін көрсетеді, бұл олардың анемияны болжау мүмкіндігін бағалауға көмектеседі. Әрбір маркер үшін ROC қисығының астындағы аумақ мәндері: Гепсидин: AUC = 0,710 (стандартты қате = 0,045, 95% CI = 0,622–0,798, p &lt; 0,001), бұл маркердің орташа болжамдық қабілетін көрсетеді. ЭПО: AUC = 0,507 (стандартты қате = 0,047, 95% CI = 0,416–0,598, p = 0,875), бұл оның елеулі болжамдық қабілетінің жоқтығын білдіреді. СРА: AUC = 0,357 (стандартты қате = 0,044, 95% CI = 0,272–0,443, p = 0,002), бұл маркердің төмен болжамдық мәнге ие екенін көрсетеді. ИЛ–6: AUC = 0,525 (стандартты қате = 0,045, 95% CI = 0,436–0,614, p = 0,582), бұл маркер де статистикалық маңызды болжамдық фактор болып табылмайды. Ферритин: AUC = 0,340 (стандартты қате = 0,043, 95% CI = 0,255–0,424, p &lt; 0,001), бұл маркердің де төмен болжамдық құндылыққа ие екенін көрсетеді.</w:t>
      </w:r>
    </w:p>
    <w:p w14:paraId="03B5F1E5">
      <w:pPr>
        <w:widowControl w:val="0"/>
        <w:autoSpaceDE w:val="0"/>
        <w:autoSpaceDN w:val="0"/>
        <w:spacing w:after="0" w:line="276" w:lineRule="auto"/>
        <w:ind w:firstLine="709"/>
        <w:jc w:val="both"/>
        <w:outlineLvl w:val="0"/>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AUC мәндеріне негізделген қорытынды: гепсидин маркері орташа диагностикалық қабілетке ие екенін көрсеткенімен, басқа маркерлер, соның ішінде СРА және ферритин, төмен немесе статистикалық маңызды болжамдық қабілетке ие емес. Сондықтан барлық предикторларды бір уақытта қолданатын логистикалық модель жеке маркерлерді талдаудан жоғарырақ дәлдікке қол жеткізе алады, себебі ол факторлар арасындағы күрделі өзара әрекеттерді ескереді.</w:t>
      </w:r>
    </w:p>
    <w:p w14:paraId="760D9EB4">
      <w:pPr>
        <w:widowControl w:val="0"/>
        <w:autoSpaceDE w:val="0"/>
        <w:autoSpaceDN w:val="0"/>
        <w:spacing w:after="0" w:line="276" w:lineRule="auto"/>
        <w:ind w:firstLine="709"/>
        <w:jc w:val="both"/>
        <w:outlineLvl w:val="0"/>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Жүкті әйелдердегі семіздік пен анемияның маңызы: семіздік және анемия мәселелері акушерлік және гинекологиялық тәжірибеде ғана емес, бүкіл әлем бойынша өзекті болып табылады. Жүктілік кезіндегі семіздік қолайсыз нәтижелерге, кесарь тілігінің арту қаупіне және жаңа туған нәрестелерді қарқынды терапия бөлімшесіне жиі жіберуге әкеледі. Семіздік жиі темір тапшылығы анемиясына әкеледі, және бұл мәселе көптеген зерттеулерге қарамастан, әлі де толық шешілмеген.</w:t>
      </w:r>
    </w:p>
    <w:p w14:paraId="038E484B">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Осыған дейін айтып өткендей семіздік те, анемия да акушерлік және гинекологияда ғана емес барлық сала бойынша, және әлемдік мәселелелерді туғызған шешімді қажет ететін патологиялар болып табылады. Жүктілік кезіндегі семіздік жүктіліктің қолайсыз нәтижелерімен байланысты [185], сонымен қатар кесір тілігі арқылы босану қаупінің жоғарылауымен және жаңа туған нәрестелердің қарқынды терапиясына түсудің жоғарылауымен [186, 187]. Бұл күрделі салдарлар және олардың денсаулыққа байланысты шығындары осы жаһандық проблеманы одан әрі зерттеуді талап етеді [188].</w:t>
      </w:r>
    </w:p>
    <w:p w14:paraId="0478241D">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 </w:t>
      </w:r>
    </w:p>
    <w:p w14:paraId="100E2F39">
      <w:pPr>
        <w:widowControl w:val="0"/>
        <w:autoSpaceDE w:val="0"/>
        <w:autoSpaceDN w:val="0"/>
        <w:spacing w:after="0" w:line="276" w:lineRule="auto"/>
        <w:ind w:firstLine="709"/>
        <w:jc w:val="both"/>
        <w:outlineLvl w:val="0"/>
        <w:rPr>
          <w:rFonts w:ascii="Times New Roman" w:hAnsi="Times New Roman" w:eastAsia="Times New Roman" w:cs="Times New Roman"/>
          <w:b/>
          <w:bCs/>
          <w:sz w:val="28"/>
          <w:szCs w:val="28"/>
          <w:lang w:eastAsia="ru-RU"/>
        </w:rPr>
      </w:pPr>
      <w:r>
        <w:rPr>
          <w:rFonts w:ascii="Times New Roman" w:hAnsi="Times New Roman" w:eastAsia="Times New Roman" w:cs="Times New Roman"/>
          <w:b/>
          <w:bCs/>
          <w:sz w:val="28"/>
          <w:szCs w:val="28"/>
          <w:lang w:eastAsia="ru-RU"/>
        </w:rPr>
        <w:t>3.9 Жүктілікке дейінгі семіздік және оның анемияның дамуына әсері: патогенез механизмінің сипаттамасын көрсететін алгоритм</w:t>
      </w:r>
    </w:p>
    <w:p w14:paraId="0B366A83">
      <w:pPr>
        <w:widowControl w:val="0"/>
        <w:autoSpaceDE w:val="0"/>
        <w:autoSpaceDN w:val="0"/>
        <w:spacing w:after="0" w:line="276" w:lineRule="auto"/>
        <w:ind w:firstLine="709"/>
        <w:jc w:val="both"/>
        <w:outlineLvl w:val="0"/>
        <w:rPr>
          <w:rFonts w:ascii="Times New Roman" w:hAnsi="Times New Roman" w:eastAsia="Times New Roman" w:cs="Times New Roman"/>
          <w:b/>
          <w:bCs/>
          <w:sz w:val="28"/>
          <w:szCs w:val="28"/>
          <w:lang w:eastAsia="ru-RU"/>
        </w:rPr>
      </w:pPr>
      <w:r>
        <w:rPr>
          <w:rFonts w:ascii="Times New Roman" w:hAnsi="Times New Roman" w:eastAsia="Times New Roman" w:cs="Times New Roman"/>
          <w:b/>
          <w:bCs/>
          <w:sz w:val="28"/>
          <w:szCs w:val="28"/>
          <w:lang w:eastAsia="ru-RU"/>
        </w:rPr>
        <w:t xml:space="preserve"> </w:t>
      </w:r>
    </w:p>
    <w:p w14:paraId="41A0DE09">
      <w:pPr>
        <w:widowControl w:val="0"/>
        <w:autoSpaceDE w:val="0"/>
        <w:autoSpaceDN w:val="0"/>
        <w:spacing w:after="0" w:line="276" w:lineRule="auto"/>
        <w:ind w:firstLine="709"/>
        <w:jc w:val="both"/>
        <w:outlineLvl w:val="0"/>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Жүктілікке дейінгі семіздік күрделі патологиялық процестердің дамуына ықпал етеді, олардың ішінде темір алмасуының бұзылуы мен анемияның дамуы маңызды орын алады. Біздің зерттеу нәтижелеріміз семіздіктің жүктілік кезінде анемияның патогенезіне тікелей әсер ететін бірнеше негізгі механизмдерін анықтады. Жүргізілген зерттеулер негізінде жүктілікке дейінгі семіздік пен анемияның дамуындағы патогенетикалық механизмдердің алгоритмі (cурет-20) ұсынылды. Алгоритм семіздікке тән қабыну процестері мен темір метаболизміндегі өзгерістердің өзара байланысын көрсетеді.</w:t>
      </w:r>
    </w:p>
    <w:p w14:paraId="5372CCD2">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Семіздіктен туындаған қабыну процестері: Жүктілікке дейінгі семіздік жағдайында май тіндерінің шамадан тыс жинақталуы ИЛ-6 және СРА сияқты қабыну медиаторларының деңгейін арттыратыны анықталды (ИЛ-6: r=0.561, p&lt;0.01; СРА: r=0.394, p&lt;0.01). Бұл қабыну процесі организмдегі гепсидин деңгейінің жоғарылауын ынталандырады (r=0.318, p&lt;0.01). Гепсидиннің жоғары деңгейі (Ме=1786,59 [Q1: 1510,64 – Q3: 1940,43], p&lt;0.001) темірдің ішек арқылы сіңірілуін және оның қоймалардан (ферритин) босатылуын тежейді. Бұл ферритин деңгейінің төмендеуімен қатар жүреді (Ме=8,49 [Q1: 4,56 – Q3: 13,19], p&lt;0.05). Зерттеу барысында гепсидин мен ферритин деңгейлері арасындағы теріс корреляция анықталды (r=–0.176, p&lt;0.05), бұл темір тапшылығының даму ықтималдығын арттырады. ТТ эритропоэтин синтезінің төмендеуіне (Ме=51,04 [Q1: 30,87 – Q3: 110,92], p&lt;0.05) және эритроциттердің түзілуінің азаюына алып келеді. Бұл гемоглобин деңгейінің айтарлықтай төмендеуін туындатады (Ме=102.3 [Q1: 90,1 – Q3: 115.8], p&lt;0.001) және анемияның клиникалық белгілерімен көрінеді.</w:t>
      </w:r>
    </w:p>
    <w:p w14:paraId="76286E0D">
      <w:pPr>
        <w:widowControl w:val="0"/>
        <w:autoSpaceDE w:val="0"/>
        <w:autoSpaceDN w:val="0"/>
        <w:spacing w:after="0" w:line="276" w:lineRule="auto"/>
        <w:ind w:firstLine="709"/>
        <w:jc w:val="both"/>
        <w:outlineLvl w:val="0"/>
        <w:rPr>
          <w:rFonts w:ascii="Times New Roman" w:hAnsi="Times New Roman" w:eastAsia="Times New Roman" w:cs="Times New Roman"/>
          <w:bCs/>
          <w:sz w:val="28"/>
          <w:szCs w:val="28"/>
          <w:lang w:eastAsia="ru-RU"/>
        </w:rPr>
      </w:pPr>
    </w:p>
    <w:p w14:paraId="0812D9CB">
      <w:pPr>
        <w:widowControl w:val="0"/>
        <w:autoSpaceDE w:val="0"/>
        <w:autoSpaceDN w:val="0"/>
        <w:spacing w:after="0" w:line="276" w:lineRule="auto"/>
        <w:ind w:firstLine="709"/>
        <w:jc w:val="both"/>
        <w:outlineLvl w:val="0"/>
        <w:rPr>
          <w:rFonts w:ascii="Times New Roman" w:hAnsi="Times New Roman" w:eastAsia="Times New Roman" w:cs="Times New Roman"/>
          <w:bCs/>
          <w:sz w:val="28"/>
          <w:szCs w:val="28"/>
          <w:lang w:eastAsia="ru-RU"/>
        </w:rPr>
      </w:pPr>
    </w:p>
    <w:p w14:paraId="5639F7F8">
      <w:pPr>
        <w:widowControl w:val="0"/>
        <w:autoSpaceDE w:val="0"/>
        <w:autoSpaceDN w:val="0"/>
        <w:spacing w:after="0" w:line="276" w:lineRule="auto"/>
        <w:jc w:val="both"/>
        <w:outlineLvl w:val="0"/>
        <w:rPr>
          <w:rFonts w:ascii="Times New Roman" w:hAnsi="Times New Roman" w:eastAsia="Times New Roman" w:cs="Times New Roman"/>
          <w:bCs/>
          <w:sz w:val="28"/>
          <w:szCs w:val="28"/>
          <w:lang w:eastAsia="ru-RU"/>
        </w:rPr>
      </w:pPr>
      <w:r>
        <w:rPr>
          <w:rFonts w:ascii="Times New Roman" w:hAnsi="Times New Roman" w:eastAsia="Times New Roman" w:cs="Times New Roman"/>
          <w:sz w:val="28"/>
          <w:szCs w:val="28"/>
          <w:lang w:eastAsia="ru-RU"/>
        </w:rPr>
        <w:drawing>
          <wp:inline distT="0" distB="0" distL="0" distR="0">
            <wp:extent cx="5561330" cy="6373495"/>
            <wp:effectExtent l="0" t="0" r="1270" b="8255"/>
            <wp:docPr id="117" name="Рисунок 117" descr="C:\Users\kgmuuser\AppData\Local\Temp\ksohtml7396\wps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Рисунок 117" descr="C:\Users\kgmuuser\AppData\Local\Temp\ksohtml7396\wps33.pn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a:xfrm>
                      <a:off x="0" y="0"/>
                      <a:ext cx="5561330" cy="6373495"/>
                    </a:xfrm>
                    <a:prstGeom prst="rect">
                      <a:avLst/>
                    </a:prstGeom>
                    <a:noFill/>
                    <a:ln>
                      <a:noFill/>
                    </a:ln>
                  </pic:spPr>
                </pic:pic>
              </a:graphicData>
            </a:graphic>
          </wp:inline>
        </w:drawing>
      </w:r>
    </w:p>
    <w:p w14:paraId="08EAB9EB">
      <w:pPr>
        <w:widowControl w:val="0"/>
        <w:autoSpaceDE w:val="0"/>
        <w:autoSpaceDN w:val="0"/>
        <w:spacing w:after="0" w:line="276" w:lineRule="auto"/>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 </w:t>
      </w:r>
    </w:p>
    <w:p w14:paraId="2FEB112A">
      <w:pPr>
        <w:widowControl w:val="0"/>
        <w:autoSpaceDE w:val="0"/>
        <w:autoSpaceDN w:val="0"/>
        <w:spacing w:after="0" w:line="276" w:lineRule="auto"/>
        <w:ind w:firstLine="709"/>
        <w:jc w:val="both"/>
        <w:outlineLvl w:val="0"/>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 xml:space="preserve"> </w:t>
      </w:r>
    </w:p>
    <w:p w14:paraId="67FE32DA">
      <w:pPr>
        <w:widowControl w:val="0"/>
        <w:autoSpaceDE w:val="0"/>
        <w:autoSpaceDN w:val="0"/>
        <w:spacing w:after="0" w:line="276" w:lineRule="auto"/>
        <w:ind w:firstLine="709"/>
        <w:jc w:val="both"/>
        <w:outlineLvl w:val="0"/>
        <w:rPr>
          <w:rFonts w:ascii="Times New Roman" w:hAnsi="Times New Roman" w:eastAsia="Times New Roman" w:cs="Times New Roman"/>
          <w:bCs/>
          <w:iCs/>
          <w:sz w:val="28"/>
          <w:szCs w:val="28"/>
          <w:lang w:eastAsia="ru-RU"/>
        </w:rPr>
      </w:pPr>
      <w:r>
        <w:rPr>
          <w:rFonts w:ascii="Times New Roman" w:hAnsi="Times New Roman" w:eastAsia="Times New Roman" w:cs="Times New Roman"/>
          <w:bCs/>
          <w:iCs/>
          <w:sz w:val="28"/>
          <w:szCs w:val="28"/>
          <w:lang w:eastAsia="ru-RU"/>
        </w:rPr>
        <w:t>Сурет – 20. Жүктілікке дейінгі семіздік және оның анемияның дамуына әсері: патогенетикалық механизм алгоритмі</w:t>
      </w:r>
    </w:p>
    <w:p w14:paraId="1DF1B0AF">
      <w:pPr>
        <w:widowControl w:val="0"/>
        <w:autoSpaceDE w:val="0"/>
        <w:autoSpaceDN w:val="0"/>
        <w:spacing w:after="0" w:line="276" w:lineRule="auto"/>
        <w:ind w:firstLine="709"/>
        <w:jc w:val="both"/>
        <w:outlineLvl w:val="0"/>
        <w:rPr>
          <w:rFonts w:ascii="Times New Roman" w:hAnsi="Times New Roman" w:eastAsia="Times New Roman" w:cs="Times New Roman"/>
          <w:bCs/>
          <w:iCs/>
          <w:sz w:val="28"/>
          <w:szCs w:val="28"/>
          <w:lang w:eastAsia="ru-RU"/>
        </w:rPr>
      </w:pPr>
    </w:p>
    <w:p w14:paraId="5C13FB18">
      <w:pPr>
        <w:widowControl w:val="0"/>
        <w:autoSpaceDE w:val="0"/>
        <w:autoSpaceDN w:val="0"/>
        <w:spacing w:after="0" w:line="276" w:lineRule="auto"/>
        <w:ind w:firstLine="709"/>
        <w:jc w:val="both"/>
        <w:outlineLvl w:val="0"/>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Семіздік пен анемияның қатар болуы жүкті әйелдердегі асқынулар санын арттырады. Зерттеу нәтижелері осы патологиялық механизмдердің перинаталдық және ананың денсаулығына теріс әсер ететінін көрсетті.</w:t>
      </w:r>
    </w:p>
    <w:p w14:paraId="0594B98A">
      <w:pPr>
        <w:widowControl w:val="0"/>
        <w:autoSpaceDE w:val="0"/>
        <w:autoSpaceDN w:val="0"/>
        <w:spacing w:after="0" w:line="276" w:lineRule="auto"/>
        <w:ind w:firstLine="709"/>
        <w:jc w:val="both"/>
        <w:outlineLvl w:val="0"/>
        <w:rPr>
          <w:rFonts w:ascii="Times New Roman" w:hAnsi="Times New Roman" w:eastAsia="Times New Roman" w:cs="Times New Roman"/>
          <w:b/>
          <w:bCs/>
          <w:sz w:val="28"/>
          <w:szCs w:val="28"/>
          <w:lang w:eastAsia="ru-RU"/>
        </w:rPr>
      </w:pPr>
      <w:r>
        <w:rPr>
          <w:rFonts w:ascii="Times New Roman" w:hAnsi="Times New Roman" w:eastAsia="Times New Roman" w:cs="Times New Roman"/>
          <w:bCs/>
          <w:sz w:val="28"/>
          <w:szCs w:val="28"/>
          <w:lang w:eastAsia="ru-RU"/>
        </w:rPr>
        <w:t>Жүктілікке дейінгі семіздік анемияның патогенезінде маңызды рөл атқаратыны зерттеу нәтижелерімен дәлелденді. Темір алмасуының бұзылуы, қабыну процестерінің белсенділігі және гемопоэздің тежелуі бұл процестің негізгі патогенетикалық механизмдері болып табылады. Осы механизмдерге негізделген профилактикалық шаралар мен емдік тәсілдерді жетілдіру перинаталдық нәтижелерді жақсартуға мүмкіндік береді.</w:t>
      </w:r>
    </w:p>
    <w:p w14:paraId="359E933D">
      <w:pPr>
        <w:widowControl w:val="0"/>
        <w:autoSpaceDE w:val="0"/>
        <w:autoSpaceDN w:val="0"/>
        <w:spacing w:after="0" w:line="276" w:lineRule="auto"/>
        <w:ind w:firstLine="709"/>
        <w:jc w:val="both"/>
        <w:outlineLvl w:val="0"/>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 xml:space="preserve"> </w:t>
      </w:r>
    </w:p>
    <w:p w14:paraId="1F83562A">
      <w:pPr>
        <w:widowControl w:val="0"/>
        <w:autoSpaceDE w:val="0"/>
        <w:autoSpaceDN w:val="0"/>
        <w:spacing w:after="0" w:line="276" w:lineRule="auto"/>
        <w:ind w:firstLine="709"/>
        <w:jc w:val="both"/>
        <w:outlineLvl w:val="0"/>
        <w:rPr>
          <w:rFonts w:ascii="Times New Roman" w:hAnsi="Times New Roman" w:eastAsia="Times New Roman" w:cs="Times New Roman"/>
          <w:iCs/>
          <w:sz w:val="28"/>
          <w:szCs w:val="28"/>
          <w:lang w:eastAsia="ru-RU"/>
        </w:rPr>
      </w:pPr>
    </w:p>
    <w:p w14:paraId="0C8D5C48">
      <w:pPr>
        <w:widowControl w:val="0"/>
        <w:autoSpaceDE w:val="0"/>
        <w:autoSpaceDN w:val="0"/>
        <w:spacing w:after="0" w:line="276" w:lineRule="auto"/>
        <w:ind w:firstLine="709"/>
        <w:jc w:val="both"/>
        <w:outlineLvl w:val="0"/>
        <w:rPr>
          <w:rFonts w:ascii="Times New Roman" w:hAnsi="Times New Roman" w:eastAsia="Times New Roman" w:cs="Times New Roman"/>
          <w:iCs/>
          <w:sz w:val="28"/>
          <w:szCs w:val="28"/>
          <w:lang w:eastAsia="ru-RU"/>
        </w:rPr>
      </w:pPr>
    </w:p>
    <w:p w14:paraId="2619F386">
      <w:pPr>
        <w:widowControl w:val="0"/>
        <w:autoSpaceDE w:val="0"/>
        <w:autoSpaceDN w:val="0"/>
        <w:spacing w:after="0" w:line="276" w:lineRule="auto"/>
        <w:ind w:firstLine="709"/>
        <w:jc w:val="both"/>
        <w:outlineLvl w:val="0"/>
        <w:rPr>
          <w:rFonts w:ascii="Times New Roman" w:hAnsi="Times New Roman" w:eastAsia="Times New Roman" w:cs="Times New Roman"/>
          <w:iCs/>
          <w:sz w:val="28"/>
          <w:szCs w:val="28"/>
          <w:lang w:eastAsia="ru-RU"/>
        </w:rPr>
      </w:pPr>
    </w:p>
    <w:p w14:paraId="4CA02C74">
      <w:pPr>
        <w:widowControl w:val="0"/>
        <w:autoSpaceDE w:val="0"/>
        <w:autoSpaceDN w:val="0"/>
        <w:spacing w:after="0" w:line="276" w:lineRule="auto"/>
        <w:ind w:firstLine="709"/>
        <w:jc w:val="both"/>
        <w:outlineLvl w:val="0"/>
        <w:rPr>
          <w:rFonts w:ascii="Times New Roman" w:hAnsi="Times New Roman" w:eastAsia="Times New Roman" w:cs="Times New Roman"/>
          <w:iCs/>
          <w:sz w:val="28"/>
          <w:szCs w:val="28"/>
          <w:lang w:eastAsia="ru-RU"/>
        </w:rPr>
      </w:pPr>
    </w:p>
    <w:p w14:paraId="37D630A3">
      <w:pPr>
        <w:widowControl w:val="0"/>
        <w:autoSpaceDE w:val="0"/>
        <w:autoSpaceDN w:val="0"/>
        <w:spacing w:after="0" w:line="276" w:lineRule="auto"/>
        <w:ind w:firstLine="709"/>
        <w:jc w:val="both"/>
        <w:outlineLvl w:val="0"/>
        <w:rPr>
          <w:rFonts w:ascii="Times New Roman" w:hAnsi="Times New Roman" w:eastAsia="Times New Roman" w:cs="Times New Roman"/>
          <w:iCs/>
          <w:sz w:val="28"/>
          <w:szCs w:val="28"/>
          <w:lang w:eastAsia="ru-RU"/>
        </w:rPr>
      </w:pPr>
    </w:p>
    <w:p w14:paraId="2F14B688">
      <w:pPr>
        <w:widowControl w:val="0"/>
        <w:autoSpaceDE w:val="0"/>
        <w:autoSpaceDN w:val="0"/>
        <w:spacing w:after="0" w:line="276" w:lineRule="auto"/>
        <w:ind w:firstLine="709"/>
        <w:jc w:val="both"/>
        <w:outlineLvl w:val="0"/>
        <w:rPr>
          <w:rFonts w:ascii="Times New Roman" w:hAnsi="Times New Roman" w:eastAsia="Times New Roman" w:cs="Times New Roman"/>
          <w:iCs/>
          <w:sz w:val="28"/>
          <w:szCs w:val="28"/>
          <w:lang w:eastAsia="ru-RU"/>
        </w:rPr>
      </w:pPr>
    </w:p>
    <w:p w14:paraId="48AB46AA">
      <w:pPr>
        <w:widowControl w:val="0"/>
        <w:autoSpaceDE w:val="0"/>
        <w:autoSpaceDN w:val="0"/>
        <w:spacing w:after="0" w:line="276" w:lineRule="auto"/>
        <w:ind w:firstLine="709"/>
        <w:jc w:val="both"/>
        <w:outlineLvl w:val="0"/>
        <w:rPr>
          <w:rFonts w:ascii="Times New Roman" w:hAnsi="Times New Roman" w:eastAsia="Times New Roman" w:cs="Times New Roman"/>
          <w:iCs/>
          <w:sz w:val="28"/>
          <w:szCs w:val="28"/>
          <w:lang w:eastAsia="ru-RU"/>
        </w:rPr>
      </w:pPr>
    </w:p>
    <w:p w14:paraId="6DC2B7A1">
      <w:pPr>
        <w:widowControl w:val="0"/>
        <w:autoSpaceDE w:val="0"/>
        <w:autoSpaceDN w:val="0"/>
        <w:spacing w:after="0" w:line="276" w:lineRule="auto"/>
        <w:ind w:firstLine="709"/>
        <w:jc w:val="both"/>
        <w:outlineLvl w:val="0"/>
        <w:rPr>
          <w:rFonts w:ascii="Times New Roman" w:hAnsi="Times New Roman" w:eastAsia="Times New Roman" w:cs="Times New Roman"/>
          <w:iCs/>
          <w:sz w:val="28"/>
          <w:szCs w:val="28"/>
          <w:lang w:eastAsia="ru-RU"/>
        </w:rPr>
      </w:pPr>
    </w:p>
    <w:p w14:paraId="620B8D74">
      <w:pPr>
        <w:widowControl w:val="0"/>
        <w:autoSpaceDE w:val="0"/>
        <w:autoSpaceDN w:val="0"/>
        <w:spacing w:after="0" w:line="276" w:lineRule="auto"/>
        <w:ind w:firstLine="709"/>
        <w:jc w:val="both"/>
        <w:outlineLvl w:val="0"/>
        <w:rPr>
          <w:rFonts w:ascii="Times New Roman" w:hAnsi="Times New Roman" w:eastAsia="Times New Roman" w:cs="Times New Roman"/>
          <w:iCs/>
          <w:sz w:val="28"/>
          <w:szCs w:val="28"/>
          <w:lang w:eastAsia="ru-RU"/>
        </w:rPr>
      </w:pPr>
    </w:p>
    <w:p w14:paraId="703E7F9E">
      <w:pPr>
        <w:widowControl w:val="0"/>
        <w:autoSpaceDE w:val="0"/>
        <w:autoSpaceDN w:val="0"/>
        <w:spacing w:after="0" w:line="276" w:lineRule="auto"/>
        <w:ind w:firstLine="709"/>
        <w:jc w:val="both"/>
        <w:outlineLvl w:val="0"/>
        <w:rPr>
          <w:rFonts w:ascii="Times New Roman" w:hAnsi="Times New Roman" w:eastAsia="Times New Roman" w:cs="Times New Roman"/>
          <w:iCs/>
          <w:sz w:val="28"/>
          <w:szCs w:val="28"/>
          <w:lang w:eastAsia="ru-RU"/>
        </w:rPr>
      </w:pPr>
    </w:p>
    <w:p w14:paraId="28B2C07E">
      <w:pPr>
        <w:widowControl w:val="0"/>
        <w:autoSpaceDE w:val="0"/>
        <w:autoSpaceDN w:val="0"/>
        <w:spacing w:after="0" w:line="276" w:lineRule="auto"/>
        <w:ind w:firstLine="709"/>
        <w:jc w:val="both"/>
        <w:outlineLvl w:val="0"/>
        <w:rPr>
          <w:rFonts w:ascii="Times New Roman" w:hAnsi="Times New Roman" w:eastAsia="Times New Roman" w:cs="Times New Roman"/>
          <w:iCs/>
          <w:sz w:val="28"/>
          <w:szCs w:val="28"/>
          <w:lang w:eastAsia="ru-RU"/>
        </w:rPr>
      </w:pPr>
    </w:p>
    <w:p w14:paraId="6C8F716B">
      <w:pPr>
        <w:widowControl w:val="0"/>
        <w:autoSpaceDE w:val="0"/>
        <w:autoSpaceDN w:val="0"/>
        <w:spacing w:after="0" w:line="276" w:lineRule="auto"/>
        <w:ind w:firstLine="709"/>
        <w:jc w:val="both"/>
        <w:outlineLvl w:val="0"/>
        <w:rPr>
          <w:rFonts w:ascii="Times New Roman" w:hAnsi="Times New Roman" w:eastAsia="Times New Roman" w:cs="Times New Roman"/>
          <w:iCs/>
          <w:sz w:val="28"/>
          <w:szCs w:val="28"/>
          <w:lang w:eastAsia="ru-RU"/>
        </w:rPr>
      </w:pPr>
    </w:p>
    <w:p w14:paraId="55FF194B">
      <w:pPr>
        <w:widowControl w:val="0"/>
        <w:autoSpaceDE w:val="0"/>
        <w:autoSpaceDN w:val="0"/>
        <w:spacing w:after="0" w:line="276" w:lineRule="auto"/>
        <w:ind w:firstLine="709"/>
        <w:jc w:val="both"/>
        <w:outlineLvl w:val="0"/>
        <w:rPr>
          <w:rFonts w:ascii="Times New Roman" w:hAnsi="Times New Roman" w:eastAsia="Times New Roman" w:cs="Times New Roman"/>
          <w:iCs/>
          <w:sz w:val="28"/>
          <w:szCs w:val="28"/>
          <w:lang w:eastAsia="ru-RU"/>
        </w:rPr>
      </w:pPr>
    </w:p>
    <w:p w14:paraId="367A432A">
      <w:pPr>
        <w:widowControl w:val="0"/>
        <w:autoSpaceDE w:val="0"/>
        <w:autoSpaceDN w:val="0"/>
        <w:spacing w:after="0" w:line="276" w:lineRule="auto"/>
        <w:ind w:firstLine="709"/>
        <w:jc w:val="both"/>
        <w:outlineLvl w:val="0"/>
        <w:rPr>
          <w:rFonts w:ascii="Times New Roman" w:hAnsi="Times New Roman" w:eastAsia="Times New Roman" w:cs="Times New Roman"/>
          <w:iCs/>
          <w:sz w:val="28"/>
          <w:szCs w:val="28"/>
          <w:lang w:eastAsia="ru-RU"/>
        </w:rPr>
      </w:pPr>
    </w:p>
    <w:p w14:paraId="0B6F71D6">
      <w:pPr>
        <w:widowControl w:val="0"/>
        <w:autoSpaceDE w:val="0"/>
        <w:autoSpaceDN w:val="0"/>
        <w:spacing w:after="0" w:line="276" w:lineRule="auto"/>
        <w:ind w:firstLine="709"/>
        <w:jc w:val="both"/>
        <w:outlineLvl w:val="0"/>
        <w:rPr>
          <w:rFonts w:ascii="Times New Roman" w:hAnsi="Times New Roman" w:eastAsia="Times New Roman" w:cs="Times New Roman"/>
          <w:b/>
          <w:bCs/>
          <w:sz w:val="28"/>
          <w:szCs w:val="28"/>
          <w:lang w:eastAsia="ru-RU"/>
        </w:rPr>
      </w:pPr>
      <w:r>
        <w:rPr>
          <w:rFonts w:ascii="Times New Roman" w:hAnsi="Times New Roman" w:eastAsia="Times New Roman" w:cs="Times New Roman"/>
          <w:b/>
          <w:bCs/>
          <w:sz w:val="28"/>
          <w:szCs w:val="28"/>
          <w:lang w:eastAsia="ru-RU"/>
        </w:rPr>
        <w:t xml:space="preserve"> </w:t>
      </w:r>
    </w:p>
    <w:p w14:paraId="4D6ECE79">
      <w:pPr>
        <w:widowControl w:val="0"/>
        <w:autoSpaceDE w:val="0"/>
        <w:autoSpaceDN w:val="0"/>
        <w:spacing w:after="0" w:line="276" w:lineRule="auto"/>
        <w:ind w:firstLine="709"/>
        <w:jc w:val="both"/>
        <w:outlineLvl w:val="0"/>
        <w:rPr>
          <w:rFonts w:ascii="Times New Roman" w:hAnsi="Times New Roman" w:eastAsia="Times New Roman" w:cs="Times New Roman"/>
          <w:b/>
          <w:bCs/>
          <w:sz w:val="28"/>
          <w:szCs w:val="28"/>
          <w:lang w:eastAsia="ru-RU"/>
        </w:rPr>
      </w:pPr>
    </w:p>
    <w:p w14:paraId="2EF3C67C">
      <w:pPr>
        <w:widowControl w:val="0"/>
        <w:autoSpaceDE w:val="0"/>
        <w:autoSpaceDN w:val="0"/>
        <w:spacing w:after="0" w:line="276" w:lineRule="auto"/>
        <w:ind w:firstLine="709"/>
        <w:jc w:val="both"/>
        <w:outlineLvl w:val="0"/>
        <w:rPr>
          <w:rFonts w:ascii="Times New Roman" w:hAnsi="Times New Roman" w:eastAsia="Times New Roman" w:cs="Times New Roman"/>
          <w:b/>
          <w:bCs/>
          <w:sz w:val="28"/>
          <w:szCs w:val="28"/>
          <w:lang w:eastAsia="ru-RU"/>
        </w:rPr>
      </w:pPr>
    </w:p>
    <w:p w14:paraId="5912444F">
      <w:pPr>
        <w:widowControl w:val="0"/>
        <w:autoSpaceDE w:val="0"/>
        <w:autoSpaceDN w:val="0"/>
        <w:spacing w:after="0" w:line="276" w:lineRule="auto"/>
        <w:ind w:firstLine="709"/>
        <w:jc w:val="both"/>
        <w:outlineLvl w:val="0"/>
        <w:rPr>
          <w:rFonts w:ascii="Times New Roman" w:hAnsi="Times New Roman" w:eastAsia="Times New Roman" w:cs="Times New Roman"/>
          <w:b/>
          <w:bCs/>
          <w:sz w:val="28"/>
          <w:szCs w:val="28"/>
          <w:lang w:eastAsia="ru-RU"/>
        </w:rPr>
      </w:pPr>
    </w:p>
    <w:p w14:paraId="2CD36C8F">
      <w:pPr>
        <w:widowControl w:val="0"/>
        <w:autoSpaceDE w:val="0"/>
        <w:autoSpaceDN w:val="0"/>
        <w:spacing w:after="0" w:line="276" w:lineRule="auto"/>
        <w:ind w:firstLine="709"/>
        <w:jc w:val="both"/>
        <w:outlineLvl w:val="0"/>
        <w:rPr>
          <w:rFonts w:ascii="Times New Roman" w:hAnsi="Times New Roman" w:eastAsia="Times New Roman" w:cs="Times New Roman"/>
          <w:b/>
          <w:bCs/>
          <w:sz w:val="28"/>
          <w:szCs w:val="28"/>
          <w:lang w:eastAsia="ru-RU"/>
        </w:rPr>
      </w:pPr>
    </w:p>
    <w:p w14:paraId="45F865F7">
      <w:pPr>
        <w:widowControl w:val="0"/>
        <w:autoSpaceDE w:val="0"/>
        <w:autoSpaceDN w:val="0"/>
        <w:spacing w:after="0" w:line="276" w:lineRule="auto"/>
        <w:ind w:firstLine="709"/>
        <w:jc w:val="both"/>
        <w:outlineLvl w:val="0"/>
        <w:rPr>
          <w:rFonts w:ascii="Times New Roman" w:hAnsi="Times New Roman" w:eastAsia="Times New Roman" w:cs="Times New Roman"/>
          <w:b/>
          <w:bCs/>
          <w:sz w:val="28"/>
          <w:szCs w:val="28"/>
          <w:lang w:eastAsia="ru-RU"/>
        </w:rPr>
      </w:pPr>
    </w:p>
    <w:p w14:paraId="656CA186">
      <w:pPr>
        <w:widowControl w:val="0"/>
        <w:autoSpaceDE w:val="0"/>
        <w:autoSpaceDN w:val="0"/>
        <w:spacing w:after="0" w:line="276" w:lineRule="auto"/>
        <w:ind w:firstLine="709"/>
        <w:jc w:val="both"/>
        <w:outlineLvl w:val="0"/>
        <w:rPr>
          <w:rFonts w:ascii="Times New Roman" w:hAnsi="Times New Roman" w:eastAsia="Times New Roman" w:cs="Times New Roman"/>
          <w:b/>
          <w:bCs/>
          <w:sz w:val="28"/>
          <w:szCs w:val="28"/>
          <w:lang w:eastAsia="ru-RU"/>
        </w:rPr>
      </w:pPr>
    </w:p>
    <w:p w14:paraId="137D87FF">
      <w:pPr>
        <w:widowControl w:val="0"/>
        <w:autoSpaceDE w:val="0"/>
        <w:autoSpaceDN w:val="0"/>
        <w:spacing w:after="0" w:line="276" w:lineRule="auto"/>
        <w:ind w:firstLine="709"/>
        <w:jc w:val="both"/>
        <w:outlineLvl w:val="0"/>
        <w:rPr>
          <w:rFonts w:ascii="Times New Roman" w:hAnsi="Times New Roman" w:eastAsia="Times New Roman" w:cs="Times New Roman"/>
          <w:b/>
          <w:bCs/>
          <w:sz w:val="28"/>
          <w:szCs w:val="28"/>
          <w:lang w:eastAsia="ru-RU"/>
        </w:rPr>
      </w:pPr>
    </w:p>
    <w:p w14:paraId="51D6EDD8">
      <w:pPr>
        <w:widowControl w:val="0"/>
        <w:autoSpaceDE w:val="0"/>
        <w:autoSpaceDN w:val="0"/>
        <w:spacing w:after="0" w:line="276" w:lineRule="auto"/>
        <w:ind w:firstLine="709"/>
        <w:jc w:val="both"/>
        <w:outlineLvl w:val="0"/>
        <w:rPr>
          <w:rFonts w:ascii="Times New Roman" w:hAnsi="Times New Roman" w:eastAsia="Times New Roman" w:cs="Times New Roman"/>
          <w:b/>
          <w:bCs/>
          <w:sz w:val="28"/>
          <w:szCs w:val="28"/>
          <w:lang w:eastAsia="ru-RU"/>
        </w:rPr>
      </w:pPr>
    </w:p>
    <w:p w14:paraId="3D6F57C1">
      <w:pPr>
        <w:widowControl w:val="0"/>
        <w:autoSpaceDE w:val="0"/>
        <w:autoSpaceDN w:val="0"/>
        <w:spacing w:after="0" w:line="276" w:lineRule="auto"/>
        <w:ind w:firstLine="709"/>
        <w:jc w:val="both"/>
        <w:outlineLvl w:val="0"/>
        <w:rPr>
          <w:rFonts w:ascii="Times New Roman" w:hAnsi="Times New Roman" w:eastAsia="Times New Roman" w:cs="Times New Roman"/>
          <w:b/>
          <w:bCs/>
          <w:sz w:val="28"/>
          <w:szCs w:val="28"/>
          <w:lang w:eastAsia="ru-RU"/>
        </w:rPr>
      </w:pPr>
    </w:p>
    <w:p w14:paraId="73864A3F">
      <w:pPr>
        <w:widowControl w:val="0"/>
        <w:autoSpaceDE w:val="0"/>
        <w:autoSpaceDN w:val="0"/>
        <w:spacing w:after="0" w:line="276" w:lineRule="auto"/>
        <w:ind w:firstLine="709"/>
        <w:jc w:val="both"/>
        <w:outlineLvl w:val="0"/>
        <w:rPr>
          <w:rFonts w:ascii="Times New Roman" w:hAnsi="Times New Roman" w:eastAsia="Times New Roman" w:cs="Times New Roman"/>
          <w:b/>
          <w:bCs/>
          <w:sz w:val="28"/>
          <w:szCs w:val="28"/>
          <w:lang w:eastAsia="ru-RU"/>
        </w:rPr>
      </w:pPr>
    </w:p>
    <w:p w14:paraId="01DB4981">
      <w:pPr>
        <w:widowControl w:val="0"/>
        <w:autoSpaceDE w:val="0"/>
        <w:autoSpaceDN w:val="0"/>
        <w:spacing w:after="0" w:line="276" w:lineRule="auto"/>
        <w:ind w:firstLine="709"/>
        <w:jc w:val="both"/>
        <w:outlineLvl w:val="0"/>
        <w:rPr>
          <w:rFonts w:ascii="Times New Roman" w:hAnsi="Times New Roman" w:eastAsia="Times New Roman" w:cs="Times New Roman"/>
          <w:b/>
          <w:bCs/>
          <w:sz w:val="28"/>
          <w:szCs w:val="28"/>
          <w:lang w:eastAsia="ru-RU"/>
        </w:rPr>
      </w:pPr>
    </w:p>
    <w:p w14:paraId="549F7BA8">
      <w:pPr>
        <w:widowControl w:val="0"/>
        <w:autoSpaceDE w:val="0"/>
        <w:autoSpaceDN w:val="0"/>
        <w:spacing w:after="0" w:line="276" w:lineRule="auto"/>
        <w:ind w:firstLine="709"/>
        <w:jc w:val="both"/>
        <w:outlineLvl w:val="0"/>
        <w:rPr>
          <w:rFonts w:ascii="Times New Roman" w:hAnsi="Times New Roman" w:eastAsia="Times New Roman" w:cs="Times New Roman"/>
          <w:b/>
          <w:bCs/>
          <w:sz w:val="28"/>
          <w:szCs w:val="28"/>
          <w:lang w:eastAsia="ru-RU"/>
        </w:rPr>
      </w:pPr>
      <w:r>
        <w:rPr>
          <w:rFonts w:ascii="Times New Roman" w:hAnsi="Times New Roman" w:eastAsia="Times New Roman" w:cs="Times New Roman"/>
          <w:b/>
          <w:bCs/>
          <w:sz w:val="28"/>
          <w:szCs w:val="28"/>
          <w:lang w:eastAsia="ru-RU"/>
        </w:rPr>
        <w:t xml:space="preserve"> </w:t>
      </w:r>
    </w:p>
    <w:p w14:paraId="0557B2CE">
      <w:pPr>
        <w:widowControl w:val="0"/>
        <w:autoSpaceDE w:val="0"/>
        <w:autoSpaceDN w:val="0"/>
        <w:spacing w:after="0" w:line="276" w:lineRule="auto"/>
        <w:ind w:firstLine="709"/>
        <w:jc w:val="both"/>
        <w:outlineLvl w:val="0"/>
        <w:rPr>
          <w:rFonts w:ascii="Times New Roman" w:hAnsi="Times New Roman" w:eastAsia="Times New Roman" w:cs="Times New Roman"/>
          <w:b/>
          <w:bCs/>
          <w:sz w:val="28"/>
          <w:szCs w:val="28"/>
          <w:lang w:eastAsia="ru-RU"/>
        </w:rPr>
      </w:pPr>
      <w:r>
        <w:rPr>
          <w:rFonts w:ascii="Times New Roman" w:hAnsi="Times New Roman" w:eastAsia="Times New Roman" w:cs="Times New Roman"/>
          <w:sz w:val="28"/>
          <w:szCs w:val="28"/>
          <w:lang w:eastAsia="ru-RU"/>
        </w:rPr>
        <w:drawing>
          <wp:inline distT="0" distB="0" distL="0" distR="0">
            <wp:extent cx="13970" cy="13970"/>
            <wp:effectExtent l="0" t="0" r="0" b="0"/>
            <wp:docPr id="118" name="Рисунок 118" descr="C:\Users\kgmuuser\AppData\Local\Temp\ksohtml7396\wps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Рисунок 118" descr="C:\Users\kgmuuser\AppData\Local\Temp\ksohtml7396\wps34.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13970" cy="13970"/>
                    </a:xfrm>
                    <a:prstGeom prst="rect">
                      <a:avLst/>
                    </a:prstGeom>
                    <a:noFill/>
                    <a:ln>
                      <a:noFill/>
                    </a:ln>
                  </pic:spPr>
                </pic:pic>
              </a:graphicData>
            </a:graphic>
          </wp:inline>
        </w:drawing>
      </w:r>
      <w:r>
        <w:rPr>
          <w:rFonts w:ascii="Times New Roman" w:hAnsi="Times New Roman" w:eastAsia="Times New Roman" w:cs="Times New Roman"/>
          <w:b/>
          <w:bCs/>
          <w:sz w:val="28"/>
          <w:szCs w:val="28"/>
          <w:lang w:eastAsia="ru-RU"/>
        </w:rPr>
        <w:t xml:space="preserve">                                            ҚОРЫТЫНДЫ</w:t>
      </w:r>
    </w:p>
    <w:p w14:paraId="107339FE">
      <w:pPr>
        <w:widowControl w:val="0"/>
        <w:autoSpaceDE w:val="0"/>
        <w:autoSpaceDN w:val="0"/>
        <w:spacing w:after="0" w:line="276" w:lineRule="auto"/>
        <w:ind w:firstLine="709"/>
        <w:jc w:val="both"/>
        <w:outlineLvl w:val="0"/>
        <w:rPr>
          <w:rFonts w:ascii="Times New Roman" w:hAnsi="Times New Roman" w:eastAsia="Times New Roman" w:cs="Times New Roman"/>
          <w:b/>
          <w:bCs/>
          <w:sz w:val="28"/>
          <w:szCs w:val="28"/>
          <w:lang w:eastAsia="ru-RU"/>
        </w:rPr>
      </w:pPr>
      <w:r>
        <w:rPr>
          <w:rFonts w:ascii="Times New Roman" w:hAnsi="Times New Roman" w:eastAsia="Times New Roman" w:cs="Times New Roman"/>
          <w:b/>
          <w:bCs/>
          <w:sz w:val="28"/>
          <w:szCs w:val="28"/>
          <w:lang w:eastAsia="ru-RU"/>
        </w:rPr>
        <w:t xml:space="preserve"> </w:t>
      </w:r>
    </w:p>
    <w:p w14:paraId="2F847EBF">
      <w:pPr>
        <w:widowControl w:val="0"/>
        <w:autoSpaceDE w:val="0"/>
        <w:autoSpaceDN w:val="0"/>
        <w:spacing w:after="0" w:line="276" w:lineRule="auto"/>
        <w:ind w:firstLine="709"/>
        <w:jc w:val="both"/>
        <w:outlineLvl w:val="0"/>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Жүктілікке дейінгі семіздік жүкті әйелдер арасында қысқа және ұзақ мерзімді асқынулардың жиілігін арттырып, маңызды акушерлік асқынуларға, соның ішінде мерзімінен бұрын босану, ірі ұрықтың тууы, преэклампсия, гестациялық қант диабеті, гипертензия, кесарь тілігі және босанғаннан кейінгі эндометрит сияқты жағдайларға әкелетіні анықталды [189]. Сонымен қатар, семіздік жүктілік кезінде анемияның дамуына ықпал ететін негізгі факторлардың бірі болып табылады. Жүктілік кезінде айналымдағы қан көлемінің ұлғаюы гемоглобин деңгейінің салыстырмалы төмендеуіне әкеледі. Ұрықтың өсуімен бірге ағзадағы темірге деген қажеттілік те артады.</w:t>
      </w:r>
    </w:p>
    <w:p w14:paraId="08FF2514">
      <w:pPr>
        <w:widowControl w:val="0"/>
        <w:autoSpaceDE w:val="0"/>
        <w:autoSpaceDN w:val="0"/>
        <w:spacing w:after="0" w:line="276" w:lineRule="auto"/>
        <w:ind w:firstLine="709"/>
        <w:jc w:val="both"/>
        <w:outlineLvl w:val="0"/>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 xml:space="preserve">Семіздік пен анемияның жүкті әйелдерде бір уақытта кездесуі асқынулар санын көбейтіп, жаһандық денсаулық сақтау жүйесіне елеулі әсерін тигізуде. Семіздік те, анемия да күрделі патологиялық жағдайлар ретінде қарастырылады. Уақтылы профилактикалық шаралар қабылданбаса, бұл жағдай ұрықтың жүйке түтігінің ақаулары, босану кезіндегі асфиксия, жарақаттар және неонатальды гипогликемия сияқты асқынуларға алып келуі мүмкін [190, 191]. Анадағы анемия нәрестенің төмен салмақта тууы, мерзімінен бұрын босану және перинаталдық өлім-жітімнің жоғарылауына ықпал етеді [192, 193]. Осы диссертациялық жұмыста жүктілікке дейінгі семіздіктің анемия дамуына ықпал ететін фактор ретіндегі рөлі жан-жақты зерттелді. Зерттеу барысында қабыну және темір метаболизмінің маркерлерінің (ИЛ–6, СРА, гепсидин, ферритин және </w:t>
      </w:r>
      <w:r>
        <w:rPr>
          <w:rFonts w:ascii="Times New Roman" w:hAnsi="Times New Roman" w:eastAsia="Times New Roman" w:cs="Times New Roman"/>
          <w:bCs/>
          <w:sz w:val="28"/>
          <w:szCs w:val="28"/>
          <w:lang w:val="kk-KZ" w:eastAsia="ru-RU"/>
        </w:rPr>
        <w:t>ЭПО</w:t>
      </w:r>
      <w:r>
        <w:rPr>
          <w:rFonts w:ascii="Times New Roman" w:hAnsi="Times New Roman" w:eastAsia="Times New Roman" w:cs="Times New Roman"/>
          <w:bCs/>
          <w:sz w:val="28"/>
          <w:szCs w:val="28"/>
          <w:lang w:eastAsia="ru-RU"/>
        </w:rPr>
        <w:t>) деңгейлері талданып, олардың анемия патогенезіне әсері анықталды. Жұмыс аясында қойылған барлық мақсаттар мен міндеттер орындалды, нәтижесінде семіздік пен анемия арасындағы өзара байланыс туралы жаңа ғылыми деректер алынды.</w:t>
      </w:r>
    </w:p>
    <w:p w14:paraId="3F3E32E1">
      <w:pPr>
        <w:widowControl w:val="0"/>
        <w:autoSpaceDE w:val="0"/>
        <w:autoSpaceDN w:val="0"/>
        <w:spacing w:after="0" w:line="276" w:lineRule="auto"/>
        <w:ind w:firstLine="709"/>
        <w:jc w:val="both"/>
        <w:outlineLvl w:val="0"/>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 xml:space="preserve">Зерттеу нәтижелері қабыну процестерінің артуы, метаболикалық және коагуляциялық жүйелердегі өзгерістер арқылы сипатталатын ерекшеліктерді көрсетті. Семіздігі бар жүкті әйелдерде ЭТЖ деңгейінің (р&lt;0,001; Ме = 38,0 [Q1: 33,0 – Q3: 39,0]), таяқша ядролы нейтрофилдердің (р&lt;0,001; Ме = 7,0 [Q1: 6,0 – Q3: 9,0]) және эозинофилдердің (р=0,015; Ме = 3,0 [Q1: 2,0 – Q3: 4,0]) жоғарылауы қабыну процестерінің белсенділігін растады. Сонымен қатар, лимфоциттер деңгейінің төмендеуі (р=0,019; Ме = 15,0 [Q1: 10,0 – Q3: 19,0]) иммундық реттелу бұзылысының көрсеткіші ретінде қарастырылды, бұл семіздікке байланысты төмен қарқынды қабынудың бар екенін дәлелдейді [177, 183]. Метаболикалық өзгерістерге жалпы ақуыздың (р=0,002; Ме = 60,0 [Q1: 58,0 – Q3: 63,0]) төмендеуі, зәр қышқылының жоғарылауы (р=0,019; Ме = 3,85 [Q1: 3,7 – Q3: 4,3]) және бауыр ферменттерінің төмендеуі (тура билирубин, р=0,026; АСТ, р=0,002) жатады. Бұл деректер семіздік пен анемияның метаболизмге теріс әсерін көрсетеді [117, 122]. Коагуляциялық жүйеде протромбин индексінің шамалы жоғарылауы (р=0,039; Ме = 97,5 [Q1: 95,0 – Q3: 98,0]) анықталса да, ХҚҚ, </w:t>
      </w:r>
      <w:r>
        <w:rPr>
          <w:rFonts w:ascii="Times New Roman" w:hAnsi="Times New Roman" w:eastAsia="Times New Roman" w:cs="Times New Roman"/>
          <w:bCs/>
          <w:sz w:val="28"/>
          <w:szCs w:val="28"/>
          <w:lang w:val="kk-KZ" w:eastAsia="ru-RU"/>
        </w:rPr>
        <w:t>БЖТУ</w:t>
      </w:r>
      <w:r>
        <w:rPr>
          <w:rFonts w:ascii="Times New Roman" w:hAnsi="Times New Roman" w:eastAsia="Times New Roman" w:cs="Times New Roman"/>
          <w:bCs/>
          <w:sz w:val="28"/>
          <w:szCs w:val="28"/>
          <w:lang w:eastAsia="ru-RU"/>
        </w:rPr>
        <w:t xml:space="preserve"> және фибриноген деңгейлерінде клиникалық маңызды айырмашылықтар байқалмады, бұл қан ұю жүйесінің жалпы тұрақтылығы сақталғанын білдіреді [173, 175].</w:t>
      </w:r>
    </w:p>
    <w:p w14:paraId="5032A792">
      <w:pPr>
        <w:widowControl w:val="0"/>
        <w:autoSpaceDE w:val="0"/>
        <w:autoSpaceDN w:val="0"/>
        <w:spacing w:after="0" w:line="276" w:lineRule="auto"/>
        <w:ind w:firstLine="709"/>
        <w:jc w:val="both"/>
        <w:outlineLvl w:val="0"/>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Сонымен қатар, қабыну медиаторларының жоғарылауы (ИЛ–6: r=0.561, p&lt;0.01; СРА: r=0.394, p&lt;0.01) гепсидин деңгейінің артуына (Ме = 1786,59 [Q1: 1510,64 – Q3: 1940,43], p&lt;0.001) алып келді, бұл темірдің қоймалардан босатылуын тежеп, оның сіңірілуін шектейтінін көрсетті [183]. Темірдің биологиялық қолжетімділігінің төмендеуі ферритин деңгейінің (Ме = 8,49 [Q1: 4,56 – Q3: 13,19], p&lt;0.05) және эритропоэтин синтезінің (Ме = 51,04 [Q1: 30,87 – Q3: 110,92], p&lt;0.05) азаюымен байланысты болды [179, 180, 182].</w:t>
      </w:r>
    </w:p>
    <w:p w14:paraId="425370F8">
      <w:pPr>
        <w:widowControl w:val="0"/>
        <w:autoSpaceDE w:val="0"/>
        <w:autoSpaceDN w:val="0"/>
        <w:spacing w:after="0" w:line="276" w:lineRule="auto"/>
        <w:ind w:firstLine="709"/>
        <w:jc w:val="both"/>
        <w:outlineLvl w:val="0"/>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Жүргізілген зерттеу нәтижелері негізінде семіздік пен анемияның патогенетикалық механизмдерін түсіну үшін жаңа диагностикалық әдістер мен профилактикалық шараларды әзірлеуге бағытталған ұсыныстар жасалды. Жұмыстың нәтижелері қабыну және темір метаболизмінің маркерлеріне негізделген патогенетикалық алгоритм құруға мүмкіндік берді. Осы диссертациялық жұмыста жүктілікке дейінгі семіздіктің жүкті әйелдерде анемия дамуының қауіп факторы ретіндегі рөлі зерттелді. Зерттеу барысында семіздікке байланысты анемияның даму механизмдері мен қауіп факторларын түсіндіру үшін темір алмасуының маркерлері мен қабыну медиаторларының деңгейлері бағаланды. Жұмыс аясында қойылған барлық мақсаттар мен міндеттер толығымен орындалды, нәтижесінде жүктілікке дейінгі семіздік пен анемия арасындағы өзара байланыстар туралы ғылыми тұрғыдан негізделген жаңа деректер алынды.</w:t>
      </w:r>
    </w:p>
    <w:p w14:paraId="1621A746">
      <w:pPr>
        <w:widowControl w:val="0"/>
        <w:autoSpaceDE w:val="0"/>
        <w:autoSpaceDN w:val="0"/>
        <w:spacing w:after="0" w:line="276" w:lineRule="auto"/>
        <w:ind w:firstLine="709"/>
        <w:jc w:val="both"/>
        <w:outlineLvl w:val="0"/>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 xml:space="preserve"> </w:t>
      </w:r>
    </w:p>
    <w:p w14:paraId="35F75F01">
      <w:pPr>
        <w:keepNext w:val="0"/>
        <w:keepLines w:val="0"/>
        <w:pageBreakBefore w:val="0"/>
        <w:widowControl w:val="0"/>
        <w:kinsoku/>
        <w:wordWrap/>
        <w:overflowPunct/>
        <w:topLinePunct w:val="0"/>
        <w:autoSpaceDE w:val="0"/>
        <w:autoSpaceDN w:val="0"/>
        <w:bidi w:val="0"/>
        <w:adjustRightInd/>
        <w:snapToGrid/>
        <w:spacing w:beforeAutospacing="0" w:after="0" w:afterAutospacing="0" w:line="240" w:lineRule="auto"/>
        <w:ind w:firstLine="709"/>
        <w:jc w:val="both"/>
        <w:textAlignment w:val="auto"/>
        <w:outlineLvl w:val="0"/>
        <w:rPr>
          <w:rFonts w:ascii="Times New Roman" w:hAnsi="Times New Roman" w:eastAsia="Times New Roman" w:cs="Times New Roman"/>
          <w:b/>
          <w:bCs/>
          <w:sz w:val="28"/>
          <w:szCs w:val="28"/>
          <w:lang w:eastAsia="ru-RU"/>
        </w:rPr>
      </w:pPr>
      <w:r>
        <w:rPr>
          <w:rFonts w:ascii="Times New Roman" w:hAnsi="Times New Roman" w:eastAsia="Times New Roman" w:cs="Times New Roman"/>
          <w:b/>
          <w:bCs/>
          <w:sz w:val="28"/>
          <w:szCs w:val="28"/>
          <w:lang w:eastAsia="ru-RU"/>
        </w:rPr>
        <w:t>Зерттеу нәтижелері:</w:t>
      </w:r>
    </w:p>
    <w:p w14:paraId="3F99F313">
      <w:pPr>
        <w:keepNext w:val="0"/>
        <w:keepLines w:val="0"/>
        <w:pageBreakBefore w:val="0"/>
        <w:widowControl w:val="0"/>
        <w:kinsoku/>
        <w:wordWrap/>
        <w:overflowPunct/>
        <w:topLinePunct w:val="0"/>
        <w:autoSpaceDE w:val="0"/>
        <w:autoSpaceDN w:val="0"/>
        <w:bidi w:val="0"/>
        <w:adjustRightInd/>
        <w:snapToGrid/>
        <w:spacing w:beforeAutospacing="0" w:after="0" w:afterAutospacing="0" w:line="240" w:lineRule="auto"/>
        <w:ind w:firstLine="709"/>
        <w:jc w:val="both"/>
        <w:textAlignment w:val="auto"/>
        <w:outlineLvl w:val="0"/>
        <w:rPr>
          <w:rFonts w:ascii="Times New Roman" w:hAnsi="Times New Roman" w:eastAsia="Times New Roman" w:cs="Times New Roman"/>
          <w:b/>
          <w:bCs/>
          <w:sz w:val="28"/>
          <w:szCs w:val="28"/>
          <w:lang w:eastAsia="ru-RU"/>
        </w:rPr>
      </w:pPr>
    </w:p>
    <w:p w14:paraId="551A3F4B">
      <w:pPr>
        <w:pStyle w:val="12"/>
        <w:keepNext w:val="0"/>
        <w:keepLines w:val="0"/>
        <w:pageBreakBefore w:val="0"/>
        <w:widowControl/>
        <w:numPr>
          <w:ilvl w:val="0"/>
          <w:numId w:val="17"/>
        </w:numPr>
        <w:suppressLineNumbers w:val="0"/>
        <w:kinsoku/>
        <w:wordWrap/>
        <w:overflowPunct/>
        <w:topLinePunct w:val="0"/>
        <w:bidi w:val="0"/>
        <w:adjustRightInd/>
        <w:snapToGrid/>
        <w:spacing w:before="0" w:beforeAutospacing="0" w:after="0" w:afterAutospacing="0" w:line="240" w:lineRule="auto"/>
        <w:ind w:right="0" w:rightChars="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Анемия мен семіздігі қатар жүретін жүкті әйелдерде гепсидин деңгейі үш есеге жоғары болды: Me = 1786,59 (Q1: 1510,64–Q3: 1940,43), ал бақылау тобында бұл көрсеткіш Me = 568,01 (Q1: 314,35–Q3: 688,43), p = 0,010. Бұл мәліметтер гепсидиннің қабыну жауабы мен темір алмасуының бұзылуындағы шешуші рөлін көрсетеді. Темір қорының көрсеткіші болып табылатын ферритин деңгейі, керісінше, төмендеді: анемия мен семіздік үйлескен жағдайда Me = 8,49 (Q1: 4,56–Q3: 13,19), бұл сау жүкті әйелдерге қарағанда 57% төмен — Me = 19,65 (Q1: 17,61–Q3: 32,81), p = 0,031. Бұл созылмалы қабынудың сақталу аясында темірдің функционалды жетіспеушілігін көрсетеді. Анемия және семіздік бар әйелдерде эритропоэтин деңгейі оқшау анемиямен салыстырғанда төмен болды: Me = 23,5 (Q1: 20,1–Q3: 27,4) және Me = 34,9 (Q1: 30,5–Q3: 38,2), p &lt; 0,01. Бұл деректер созылмалы қабынудың эритропоэтин синтезін тежейтін ықпалын көрсетуі мүмкін. Интерлейкин-6 деңгейі анемия мен семіздік үйлескен әйелдерде 2,6 есе жоғары болды: Me = 6,2 (Q1: 5,4–Q3: 7,1), бақылау тобында — Me = 2,4 (Q1: 2,0–Q3: 2,9), p &lt; 0,001. Бұл жүйелі қабынудың айқын көрінісін растайды. С-реактивті ақуыз деңгейі де айтарлықтай жоғары болды: Me = 8,50 (Q1: 6,34–Q3: 12,37), бақылау тобында — Me = 3,92 (Q1: 2,99–Q3: 4,72), p &lt; 0,001. Бұл деректер қабынудың персистенциясын және оның анемия патогенезіндегі ықтимал рөлін растайды.</w:t>
      </w:r>
    </w:p>
    <w:p w14:paraId="1BA4AC46">
      <w:pPr>
        <w:pStyle w:val="12"/>
        <w:keepNext w:val="0"/>
        <w:keepLines w:val="0"/>
        <w:pageBreakBefore w:val="0"/>
        <w:widowControl/>
        <w:numPr>
          <w:ilvl w:val="0"/>
          <w:numId w:val="0"/>
        </w:numPr>
        <w:suppressLineNumbers w:val="0"/>
        <w:kinsoku/>
        <w:wordWrap/>
        <w:overflowPunct/>
        <w:topLinePunct w:val="0"/>
        <w:bidi w:val="0"/>
        <w:adjustRightInd/>
        <w:snapToGrid/>
        <w:spacing w:before="0" w:beforeAutospacing="0" w:after="0" w:afterAutospacing="0" w:line="240" w:lineRule="auto"/>
        <w:ind w:right="0" w:rightChars="0"/>
        <w:jc w:val="both"/>
        <w:textAlignment w:val="auto"/>
        <w:rPr>
          <w:rFonts w:hint="default" w:ascii="Times New Roman" w:hAnsi="Times New Roman" w:cs="Times New Roman"/>
          <w:sz w:val="28"/>
          <w:szCs w:val="28"/>
        </w:rPr>
      </w:pPr>
    </w:p>
    <w:p w14:paraId="12AB22BE">
      <w:pPr>
        <w:pStyle w:val="12"/>
        <w:keepNext w:val="0"/>
        <w:keepLines w:val="0"/>
        <w:pageBreakBefore w:val="0"/>
        <w:widowControl/>
        <w:numPr>
          <w:ilvl w:val="0"/>
          <w:numId w:val="17"/>
        </w:numPr>
        <w:suppressLineNumbers w:val="0"/>
        <w:kinsoku/>
        <w:wordWrap/>
        <w:overflowPunct/>
        <w:topLinePunct w:val="0"/>
        <w:bidi w:val="0"/>
        <w:adjustRightInd/>
        <w:snapToGrid/>
        <w:spacing w:before="0" w:beforeAutospacing="0" w:after="0" w:afterAutospacing="0" w:line="240" w:lineRule="auto"/>
        <w:ind w:right="0" w:rightChars="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Анемия және предгестациялық семіздігі бар жүкті әйелдерде босану және перинаталдық кезеңдегі асқынулар жиі кездеседі. Статистикалық тұрғыдан келесі көрсеткіштер анықталды: гестациялық диабет (χ²=14,141; p=0,0027), гипертензиялық бұзылыстар (χ²=9,958; p=0,0189), иық дистоциясы (χ²=12,069; p=0,0072), макросомиямен босану (χ²=7,958; p=0,0469), сондай-ақ өмірінің алғашқы минуттарында Апгар шкаласы бойынша 7 баллдан төмен көрсеткіштер (χ²=10,594; p=0,0141).</w:t>
      </w:r>
      <w:r>
        <w:rPr>
          <w:rFonts w:hint="default" w:ascii="Times New Roman" w:hAnsi="Times New Roman" w:eastAsia="SimSun" w:cs="Times New Roman"/>
          <w:sz w:val="28"/>
          <w:szCs w:val="28"/>
        </w:rPr>
        <w:t xml:space="preserve"> </w:t>
      </w:r>
    </w:p>
    <w:p w14:paraId="707DAEEA">
      <w:pPr>
        <w:pStyle w:val="12"/>
        <w:keepNext w:val="0"/>
        <w:keepLines w:val="0"/>
        <w:pageBreakBefore w:val="0"/>
        <w:widowControl/>
        <w:numPr>
          <w:ilvl w:val="0"/>
          <w:numId w:val="0"/>
        </w:numPr>
        <w:suppressLineNumbers w:val="0"/>
        <w:kinsoku/>
        <w:wordWrap/>
        <w:overflowPunct/>
        <w:topLinePunct w:val="0"/>
        <w:bidi w:val="0"/>
        <w:adjustRightInd/>
        <w:snapToGrid/>
        <w:spacing w:before="0" w:beforeAutospacing="0" w:after="0" w:afterAutospacing="0" w:line="240" w:lineRule="auto"/>
        <w:ind w:right="0" w:rightChars="0"/>
        <w:jc w:val="both"/>
        <w:textAlignment w:val="auto"/>
        <w:rPr>
          <w:rFonts w:hint="default" w:ascii="Times New Roman" w:hAnsi="Times New Roman" w:cs="Times New Roman"/>
          <w:sz w:val="28"/>
          <w:szCs w:val="28"/>
        </w:rPr>
      </w:pPr>
    </w:p>
    <w:p w14:paraId="7D359F6D">
      <w:pPr>
        <w:pStyle w:val="12"/>
        <w:keepNext w:val="0"/>
        <w:keepLines w:val="0"/>
        <w:pageBreakBefore w:val="0"/>
        <w:widowControl/>
        <w:numPr>
          <w:ilvl w:val="0"/>
          <w:numId w:val="17"/>
        </w:numPr>
        <w:suppressLineNumbers w:val="0"/>
        <w:kinsoku/>
        <w:wordWrap/>
        <w:overflowPunct/>
        <w:topLinePunct w:val="0"/>
        <w:bidi w:val="0"/>
        <w:adjustRightInd/>
        <w:snapToGrid/>
        <w:spacing w:before="0" w:beforeAutospacing="0" w:after="0" w:afterAutospacing="0" w:line="240" w:lineRule="auto"/>
        <w:ind w:right="0" w:rightChars="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Қабыну маркерлері — С-реактивті ақуыз (r = 0,394; p &lt; 0,01), интерлейкин-6 (r = 0,561; p &lt; 0,01) және гепсидин (r = 0,318; p &lt; 0,01) дене салмағы индексімен оң корреляция көрсетті, бұл семіздік, қабыну және темір алмасуының бұзылыстары арасындағы тығыз байланысты білдіреді. Сонымен қатар, гепсидин мен гемоглобин деңгейі арасында кері байланыс анықталды (r = –0,407; p &lt; 0,01), бұл гепсидиннің темірдің босап шығуын шектеу арқылы гемоглобин деңгейінің төмендеуіне ықпал ететінін көрсетеді.</w:t>
      </w:r>
    </w:p>
    <w:p w14:paraId="7C124ED8">
      <w:pPr>
        <w:pStyle w:val="12"/>
        <w:keepNext w:val="0"/>
        <w:keepLines w:val="0"/>
        <w:pageBreakBefore w:val="0"/>
        <w:widowControl/>
        <w:numPr>
          <w:ilvl w:val="0"/>
          <w:numId w:val="0"/>
        </w:numPr>
        <w:suppressLineNumbers w:val="0"/>
        <w:kinsoku/>
        <w:wordWrap/>
        <w:overflowPunct/>
        <w:topLinePunct w:val="0"/>
        <w:bidi w:val="0"/>
        <w:adjustRightInd/>
        <w:snapToGrid/>
        <w:spacing w:before="0" w:beforeAutospacing="0" w:after="0" w:afterAutospacing="0" w:line="240" w:lineRule="auto"/>
        <w:ind w:right="0" w:rightChars="0"/>
        <w:jc w:val="both"/>
        <w:textAlignment w:val="auto"/>
        <w:rPr>
          <w:rFonts w:hint="default" w:ascii="Times New Roman" w:hAnsi="Times New Roman" w:cs="Times New Roman"/>
          <w:sz w:val="28"/>
          <w:szCs w:val="28"/>
        </w:rPr>
      </w:pPr>
    </w:p>
    <w:p w14:paraId="48D38B96">
      <w:pPr>
        <w:pStyle w:val="12"/>
        <w:keepNext w:val="0"/>
        <w:keepLines w:val="0"/>
        <w:pageBreakBefore w:val="0"/>
        <w:widowControl/>
        <w:numPr>
          <w:ilvl w:val="0"/>
          <w:numId w:val="17"/>
        </w:numPr>
        <w:suppressLineNumbers w:val="0"/>
        <w:kinsoku/>
        <w:wordWrap/>
        <w:overflowPunct/>
        <w:topLinePunct w:val="0"/>
        <w:bidi w:val="0"/>
        <w:adjustRightInd/>
        <w:snapToGrid/>
        <w:spacing w:before="0" w:beforeAutospacing="0" w:after="0" w:afterAutospacing="0" w:line="240" w:lineRule="auto"/>
        <w:ind w:right="0" w:rightChars="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Көптік регрессиялық талдау дене салмағы индексінің вариацияларының 62,5%-ы интерлейкин-6 (r = 0,561; p &lt; 0,01), С-реактивті ақуыз (r = 0,394; p &lt; 0,01) және гепсидин (r = 0,318; p &lt; 0,01) деңгейлерімен түсіндірілетінін көрсетті. Логистикалық регрессия нәтижесінде гепсидиннің 1 бірлікке жоғарылауы анемия қаупін 0,3%-ға (Exp(B) = 1,003; p &lt; 0,001), интерлейкин-6 — 29,1%-ға (Exp(B) = 1,291; p = 0,002) арттыратыны анықталды. Сонымен қатар, дене салмағының индексі (Exp(B) = 0,846; p = 0,029) және С-реактивті ақуыз деңгейі (Exp(B) = 0,882; p = 0,032) анемия даму қаупінің шамалы төмендеуімен ассоциацияланды. Бұл нәтижелер іріктеу құрылымының ерекшеліктерімен, оқшау семіздік кезіндегі компенсаторлық механизмдермен немесе басқа метаболикалық бейімделулермен байланысты болуы мүмкін. Құрылған прогностикалық модель жоғары классификациялық дәлдікке (77,8%) және ROC-кривой бойынша диагностикалық нақтылыққа (AUC = 0,864; 95% CI = 0,810–0,918; p &lt; 0,001) ие болды, бұл биомаркерлерді анемия қаупін бағалау үшін болашағы бар индикатор ретінде қарастыруға мүмкіндік береді.</w:t>
      </w:r>
    </w:p>
    <w:p w14:paraId="14F6F9FA">
      <w:pPr>
        <w:pStyle w:val="12"/>
        <w:keepNext w:val="0"/>
        <w:keepLines w:val="0"/>
        <w:pageBreakBefore w:val="0"/>
        <w:widowControl/>
        <w:numPr>
          <w:ilvl w:val="0"/>
          <w:numId w:val="0"/>
        </w:numPr>
        <w:suppressLineNumbers w:val="0"/>
        <w:kinsoku/>
        <w:wordWrap/>
        <w:overflowPunct/>
        <w:topLinePunct w:val="0"/>
        <w:bidi w:val="0"/>
        <w:adjustRightInd/>
        <w:snapToGrid/>
        <w:spacing w:before="0" w:beforeAutospacing="0" w:after="0" w:afterAutospacing="0" w:line="240" w:lineRule="auto"/>
        <w:ind w:right="0" w:rightChars="0"/>
        <w:jc w:val="both"/>
        <w:textAlignment w:val="auto"/>
        <w:rPr>
          <w:rFonts w:hint="default" w:ascii="Times New Roman" w:hAnsi="Times New Roman" w:cs="Times New Roman"/>
          <w:sz w:val="28"/>
          <w:szCs w:val="28"/>
        </w:rPr>
      </w:pPr>
    </w:p>
    <w:p w14:paraId="3938ACBE">
      <w:pPr>
        <w:pStyle w:val="12"/>
        <w:keepNext w:val="0"/>
        <w:keepLines w:val="0"/>
        <w:pageBreakBefore w:val="0"/>
        <w:widowControl/>
        <w:numPr>
          <w:ilvl w:val="0"/>
          <w:numId w:val="17"/>
        </w:numPr>
        <w:suppressLineNumbers w:val="0"/>
        <w:kinsoku/>
        <w:wordWrap/>
        <w:overflowPunct/>
        <w:topLinePunct w:val="0"/>
        <w:bidi w:val="0"/>
        <w:adjustRightInd/>
        <w:snapToGrid/>
        <w:spacing w:before="0" w:beforeAutospacing="0" w:after="0" w:afterAutospacing="0" w:line="240" w:lineRule="auto"/>
        <w:ind w:right="0" w:rightChars="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Жасалған патогенез моделі көрсеткендей, предгестациялық семіздік жағдайында май тінінің артуы интерлейкин-6 (r = 0,561; p &lt; 0,01) және С-реактивті ақуыз (r = 0,394; p &lt; 0,01) деңгейлерінің жоғарылауымен қатар жүреді, бұл өз кезегінде гепсидин синтезін ынталандырады (Me = 1786,59 [Q1: 1510,64 – Q3: 1940,43], p &lt; 0,001). Темірдің сіңірілуі мен босап шығуы бұзылып, ферритин деңгейі төмендейді (Me = 8,49 [Q1: 4,56 – Q3: 13,19], p &lt; 0,05), эритропоэтин синтезі тежеледі (Me = 51,04 [Q1: 30,87 – Q3: 110,92], p &lt; 0,05), ал гемоглобин деңгейі айтарлықтай төмендейді (Me = 102,3 [Q1: 90,1 – Q3: 115,8], p &lt; 0,001). Бұл жағдайлар анемияның дамуына және перинаталдық асқынулардың жиілеуіне алып келеді.</w:t>
      </w:r>
      <w:r>
        <w:rPr>
          <w:rFonts w:hint="default" w:ascii="Times New Roman" w:hAnsi="Times New Roman" w:eastAsia="SimSun" w:cs="Times New Roman"/>
          <w:sz w:val="28"/>
          <w:szCs w:val="28"/>
        </w:rPr>
        <w:t xml:space="preserve"> </w:t>
      </w:r>
    </w:p>
    <w:p w14:paraId="252FCA53">
      <w:pPr>
        <w:keepNext w:val="0"/>
        <w:keepLines w:val="0"/>
        <w:pageBreakBefore w:val="0"/>
        <w:widowControl w:val="0"/>
        <w:kinsoku/>
        <w:wordWrap/>
        <w:overflowPunct/>
        <w:topLinePunct w:val="0"/>
        <w:autoSpaceDE w:val="0"/>
        <w:autoSpaceDN w:val="0"/>
        <w:bidi w:val="0"/>
        <w:adjustRightInd/>
        <w:snapToGrid/>
        <w:spacing w:beforeAutospacing="0" w:after="0" w:afterAutospacing="0" w:line="240" w:lineRule="auto"/>
        <w:ind w:firstLine="709"/>
        <w:jc w:val="both"/>
        <w:textAlignment w:val="auto"/>
        <w:outlineLvl w:val="0"/>
        <w:rPr>
          <w:rFonts w:ascii="Times New Roman" w:hAnsi="Times New Roman" w:eastAsia="Calibri" w:cs="Times New Roman"/>
          <w:b/>
          <w:bCs/>
          <w:sz w:val="28"/>
          <w:szCs w:val="28"/>
          <w:lang w:eastAsia="ru-RU"/>
        </w:rPr>
      </w:pPr>
      <w:r>
        <w:rPr>
          <w:rFonts w:ascii="Times New Roman" w:hAnsi="Times New Roman" w:eastAsia="Calibri" w:cs="Times New Roman"/>
          <w:b/>
          <w:bCs/>
          <w:sz w:val="28"/>
          <w:szCs w:val="28"/>
          <w:lang w:eastAsia="ru-RU"/>
        </w:rPr>
        <w:t xml:space="preserve"> </w:t>
      </w:r>
    </w:p>
    <w:p w14:paraId="35719AE9">
      <w:pPr>
        <w:keepNext w:val="0"/>
        <w:keepLines w:val="0"/>
        <w:pageBreakBefore w:val="0"/>
        <w:widowControl w:val="0"/>
        <w:kinsoku/>
        <w:wordWrap/>
        <w:overflowPunct/>
        <w:topLinePunct w:val="0"/>
        <w:autoSpaceDE w:val="0"/>
        <w:autoSpaceDN w:val="0"/>
        <w:bidi w:val="0"/>
        <w:adjustRightInd/>
        <w:snapToGrid/>
        <w:spacing w:beforeAutospacing="0" w:after="0" w:afterAutospacing="0" w:line="240" w:lineRule="auto"/>
        <w:jc w:val="both"/>
        <w:textAlignment w:val="auto"/>
        <w:outlineLvl w:val="0"/>
        <w:rPr>
          <w:rFonts w:ascii="Times New Roman" w:hAnsi="Times New Roman" w:eastAsia="Calibri" w:cs="Times New Roman"/>
          <w:b/>
          <w:bCs/>
          <w:sz w:val="28"/>
          <w:szCs w:val="28"/>
          <w:lang w:eastAsia="ru-RU"/>
        </w:rPr>
      </w:pPr>
    </w:p>
    <w:p w14:paraId="62509E6E">
      <w:pPr>
        <w:keepNext w:val="0"/>
        <w:keepLines w:val="0"/>
        <w:pageBreakBefore w:val="0"/>
        <w:widowControl w:val="0"/>
        <w:kinsoku/>
        <w:wordWrap/>
        <w:overflowPunct/>
        <w:topLinePunct w:val="0"/>
        <w:autoSpaceDE w:val="0"/>
        <w:autoSpaceDN w:val="0"/>
        <w:bidi w:val="0"/>
        <w:adjustRightInd/>
        <w:snapToGrid/>
        <w:spacing w:beforeAutospacing="0" w:after="0" w:afterAutospacing="0" w:line="240" w:lineRule="auto"/>
        <w:jc w:val="both"/>
        <w:textAlignment w:val="auto"/>
        <w:outlineLvl w:val="0"/>
        <w:rPr>
          <w:rFonts w:ascii="Times New Roman" w:hAnsi="Times New Roman" w:eastAsia="Calibri" w:cs="Times New Roman"/>
          <w:b/>
          <w:bCs/>
          <w:sz w:val="28"/>
          <w:szCs w:val="28"/>
          <w:lang w:eastAsia="ru-RU"/>
        </w:rPr>
      </w:pPr>
    </w:p>
    <w:p w14:paraId="49DACE3B">
      <w:pPr>
        <w:keepNext w:val="0"/>
        <w:keepLines w:val="0"/>
        <w:pageBreakBefore w:val="0"/>
        <w:widowControl w:val="0"/>
        <w:kinsoku/>
        <w:wordWrap/>
        <w:overflowPunct/>
        <w:topLinePunct w:val="0"/>
        <w:autoSpaceDE w:val="0"/>
        <w:autoSpaceDN w:val="0"/>
        <w:bidi w:val="0"/>
        <w:adjustRightInd/>
        <w:snapToGrid/>
        <w:spacing w:beforeAutospacing="0" w:after="0" w:afterAutospacing="0" w:line="240" w:lineRule="auto"/>
        <w:jc w:val="both"/>
        <w:textAlignment w:val="auto"/>
        <w:outlineLvl w:val="0"/>
        <w:rPr>
          <w:rFonts w:ascii="Times New Roman" w:hAnsi="Times New Roman" w:eastAsia="Calibri" w:cs="Times New Roman"/>
          <w:b/>
          <w:bCs/>
          <w:sz w:val="28"/>
          <w:szCs w:val="28"/>
          <w:lang w:eastAsia="ru-RU"/>
        </w:rPr>
      </w:pPr>
    </w:p>
    <w:p w14:paraId="6A269954">
      <w:pPr>
        <w:keepNext w:val="0"/>
        <w:keepLines w:val="0"/>
        <w:pageBreakBefore w:val="0"/>
        <w:widowControl w:val="0"/>
        <w:kinsoku/>
        <w:wordWrap/>
        <w:overflowPunct/>
        <w:topLinePunct w:val="0"/>
        <w:autoSpaceDE w:val="0"/>
        <w:autoSpaceDN w:val="0"/>
        <w:bidi w:val="0"/>
        <w:adjustRightInd/>
        <w:snapToGrid/>
        <w:spacing w:beforeAutospacing="0" w:after="0" w:afterAutospacing="0" w:line="240" w:lineRule="auto"/>
        <w:jc w:val="both"/>
        <w:textAlignment w:val="auto"/>
        <w:outlineLvl w:val="0"/>
        <w:rPr>
          <w:rFonts w:ascii="Times New Roman" w:hAnsi="Times New Roman" w:eastAsia="Calibri" w:cs="Times New Roman"/>
          <w:b/>
          <w:bCs/>
          <w:sz w:val="28"/>
          <w:szCs w:val="28"/>
          <w:lang w:eastAsia="ru-RU"/>
        </w:rPr>
      </w:pPr>
    </w:p>
    <w:p w14:paraId="65D51AEF">
      <w:pPr>
        <w:keepNext w:val="0"/>
        <w:keepLines w:val="0"/>
        <w:pageBreakBefore w:val="0"/>
        <w:widowControl w:val="0"/>
        <w:kinsoku/>
        <w:wordWrap/>
        <w:overflowPunct/>
        <w:topLinePunct w:val="0"/>
        <w:autoSpaceDE w:val="0"/>
        <w:autoSpaceDN w:val="0"/>
        <w:bidi w:val="0"/>
        <w:adjustRightInd/>
        <w:snapToGrid/>
        <w:spacing w:beforeAutospacing="0" w:after="0" w:afterAutospacing="0" w:line="240" w:lineRule="auto"/>
        <w:jc w:val="both"/>
        <w:textAlignment w:val="auto"/>
        <w:outlineLvl w:val="0"/>
        <w:rPr>
          <w:rFonts w:ascii="Times New Roman" w:hAnsi="Times New Roman" w:eastAsia="Calibri" w:cs="Times New Roman"/>
          <w:b/>
          <w:bCs/>
          <w:sz w:val="28"/>
          <w:szCs w:val="28"/>
          <w:lang w:eastAsia="ru-RU"/>
        </w:rPr>
      </w:pPr>
    </w:p>
    <w:p w14:paraId="3B77207C">
      <w:pPr>
        <w:keepNext w:val="0"/>
        <w:keepLines w:val="0"/>
        <w:pageBreakBefore w:val="0"/>
        <w:widowControl w:val="0"/>
        <w:kinsoku/>
        <w:wordWrap/>
        <w:overflowPunct/>
        <w:topLinePunct w:val="0"/>
        <w:autoSpaceDE w:val="0"/>
        <w:autoSpaceDN w:val="0"/>
        <w:bidi w:val="0"/>
        <w:adjustRightInd/>
        <w:snapToGrid/>
        <w:spacing w:beforeAutospacing="0" w:after="0" w:afterAutospacing="0" w:line="240" w:lineRule="auto"/>
        <w:jc w:val="both"/>
        <w:textAlignment w:val="auto"/>
        <w:outlineLvl w:val="0"/>
        <w:rPr>
          <w:rFonts w:ascii="Times New Roman" w:hAnsi="Times New Roman" w:eastAsia="Calibri" w:cs="Times New Roman"/>
          <w:b/>
          <w:bCs/>
          <w:sz w:val="28"/>
          <w:szCs w:val="28"/>
          <w:lang w:eastAsia="ru-RU"/>
        </w:rPr>
      </w:pPr>
    </w:p>
    <w:p w14:paraId="642610D5">
      <w:pPr>
        <w:keepNext w:val="0"/>
        <w:keepLines w:val="0"/>
        <w:pageBreakBefore w:val="0"/>
        <w:widowControl w:val="0"/>
        <w:kinsoku/>
        <w:wordWrap/>
        <w:overflowPunct/>
        <w:topLinePunct w:val="0"/>
        <w:autoSpaceDE w:val="0"/>
        <w:autoSpaceDN w:val="0"/>
        <w:bidi w:val="0"/>
        <w:adjustRightInd/>
        <w:snapToGrid/>
        <w:spacing w:beforeAutospacing="0" w:after="0" w:afterAutospacing="0" w:line="240" w:lineRule="auto"/>
        <w:jc w:val="both"/>
        <w:textAlignment w:val="auto"/>
        <w:outlineLvl w:val="0"/>
        <w:rPr>
          <w:rFonts w:ascii="Times New Roman" w:hAnsi="Times New Roman" w:eastAsia="Calibri" w:cs="Times New Roman"/>
          <w:b/>
          <w:bCs/>
          <w:sz w:val="28"/>
          <w:szCs w:val="28"/>
          <w:lang w:eastAsia="ru-RU"/>
        </w:rPr>
      </w:pPr>
    </w:p>
    <w:p w14:paraId="2360A8C7">
      <w:pPr>
        <w:keepNext w:val="0"/>
        <w:keepLines w:val="0"/>
        <w:pageBreakBefore w:val="0"/>
        <w:widowControl w:val="0"/>
        <w:kinsoku/>
        <w:wordWrap/>
        <w:overflowPunct/>
        <w:topLinePunct w:val="0"/>
        <w:autoSpaceDE w:val="0"/>
        <w:autoSpaceDN w:val="0"/>
        <w:bidi w:val="0"/>
        <w:adjustRightInd/>
        <w:snapToGrid/>
        <w:spacing w:beforeAutospacing="0" w:after="0" w:afterAutospacing="0" w:line="240" w:lineRule="auto"/>
        <w:jc w:val="both"/>
        <w:textAlignment w:val="auto"/>
        <w:outlineLvl w:val="0"/>
        <w:rPr>
          <w:rFonts w:ascii="Times New Roman" w:hAnsi="Times New Roman" w:eastAsia="Calibri" w:cs="Times New Roman"/>
          <w:b/>
          <w:bCs/>
          <w:sz w:val="28"/>
          <w:szCs w:val="28"/>
          <w:lang w:eastAsia="ru-RU"/>
        </w:rPr>
      </w:pPr>
    </w:p>
    <w:p w14:paraId="4E379543">
      <w:pPr>
        <w:keepNext w:val="0"/>
        <w:keepLines w:val="0"/>
        <w:pageBreakBefore w:val="0"/>
        <w:widowControl w:val="0"/>
        <w:kinsoku/>
        <w:wordWrap/>
        <w:overflowPunct/>
        <w:topLinePunct w:val="0"/>
        <w:autoSpaceDE w:val="0"/>
        <w:autoSpaceDN w:val="0"/>
        <w:bidi w:val="0"/>
        <w:adjustRightInd/>
        <w:snapToGrid/>
        <w:spacing w:beforeAutospacing="0" w:after="0" w:afterAutospacing="0" w:line="240" w:lineRule="auto"/>
        <w:jc w:val="both"/>
        <w:textAlignment w:val="auto"/>
        <w:outlineLvl w:val="0"/>
        <w:rPr>
          <w:rFonts w:ascii="Times New Roman" w:hAnsi="Times New Roman" w:eastAsia="Calibri" w:cs="Times New Roman"/>
          <w:b/>
          <w:bCs/>
          <w:sz w:val="28"/>
          <w:szCs w:val="28"/>
          <w:lang w:eastAsia="ru-RU"/>
        </w:rPr>
      </w:pPr>
    </w:p>
    <w:p w14:paraId="4566034E">
      <w:pPr>
        <w:keepNext w:val="0"/>
        <w:keepLines w:val="0"/>
        <w:pageBreakBefore w:val="0"/>
        <w:widowControl w:val="0"/>
        <w:kinsoku/>
        <w:wordWrap/>
        <w:overflowPunct/>
        <w:topLinePunct w:val="0"/>
        <w:autoSpaceDE w:val="0"/>
        <w:autoSpaceDN w:val="0"/>
        <w:bidi w:val="0"/>
        <w:adjustRightInd/>
        <w:snapToGrid/>
        <w:spacing w:beforeAutospacing="0" w:after="0" w:afterAutospacing="0" w:line="240" w:lineRule="auto"/>
        <w:jc w:val="both"/>
        <w:textAlignment w:val="auto"/>
        <w:outlineLvl w:val="0"/>
        <w:rPr>
          <w:rFonts w:ascii="Times New Roman" w:hAnsi="Times New Roman" w:eastAsia="Calibri" w:cs="Times New Roman"/>
          <w:b/>
          <w:bCs/>
          <w:sz w:val="28"/>
          <w:szCs w:val="28"/>
          <w:lang w:eastAsia="ru-RU"/>
        </w:rPr>
      </w:pPr>
    </w:p>
    <w:p w14:paraId="7599AA9D">
      <w:pPr>
        <w:keepNext w:val="0"/>
        <w:keepLines w:val="0"/>
        <w:pageBreakBefore w:val="0"/>
        <w:widowControl w:val="0"/>
        <w:kinsoku/>
        <w:wordWrap/>
        <w:overflowPunct/>
        <w:topLinePunct w:val="0"/>
        <w:autoSpaceDE w:val="0"/>
        <w:autoSpaceDN w:val="0"/>
        <w:bidi w:val="0"/>
        <w:adjustRightInd/>
        <w:snapToGrid/>
        <w:spacing w:beforeAutospacing="0" w:after="0" w:afterAutospacing="0" w:line="240" w:lineRule="auto"/>
        <w:jc w:val="both"/>
        <w:textAlignment w:val="auto"/>
        <w:outlineLvl w:val="0"/>
        <w:rPr>
          <w:rFonts w:ascii="Times New Roman" w:hAnsi="Times New Roman" w:eastAsia="Calibri" w:cs="Times New Roman"/>
          <w:b/>
          <w:bCs/>
          <w:sz w:val="28"/>
          <w:szCs w:val="28"/>
          <w:lang w:eastAsia="ru-RU"/>
        </w:rPr>
      </w:pPr>
    </w:p>
    <w:p w14:paraId="23333CBA">
      <w:pPr>
        <w:keepNext w:val="0"/>
        <w:keepLines w:val="0"/>
        <w:pageBreakBefore w:val="0"/>
        <w:widowControl w:val="0"/>
        <w:kinsoku/>
        <w:wordWrap/>
        <w:overflowPunct/>
        <w:topLinePunct w:val="0"/>
        <w:autoSpaceDE w:val="0"/>
        <w:autoSpaceDN w:val="0"/>
        <w:bidi w:val="0"/>
        <w:adjustRightInd/>
        <w:snapToGrid/>
        <w:spacing w:beforeAutospacing="0" w:after="0" w:afterAutospacing="0" w:line="240" w:lineRule="auto"/>
        <w:jc w:val="both"/>
        <w:textAlignment w:val="auto"/>
        <w:outlineLvl w:val="0"/>
        <w:rPr>
          <w:rFonts w:ascii="Times New Roman" w:hAnsi="Times New Roman" w:eastAsia="Calibri" w:cs="Times New Roman"/>
          <w:b/>
          <w:bCs/>
          <w:sz w:val="28"/>
          <w:szCs w:val="28"/>
          <w:lang w:eastAsia="ru-RU"/>
        </w:rPr>
      </w:pPr>
    </w:p>
    <w:p w14:paraId="7EF7D624">
      <w:pPr>
        <w:keepNext w:val="0"/>
        <w:keepLines w:val="0"/>
        <w:pageBreakBefore w:val="0"/>
        <w:widowControl w:val="0"/>
        <w:kinsoku/>
        <w:wordWrap/>
        <w:overflowPunct/>
        <w:topLinePunct w:val="0"/>
        <w:autoSpaceDE w:val="0"/>
        <w:autoSpaceDN w:val="0"/>
        <w:bidi w:val="0"/>
        <w:adjustRightInd/>
        <w:snapToGrid/>
        <w:spacing w:beforeAutospacing="0" w:after="0" w:afterAutospacing="0" w:line="240" w:lineRule="auto"/>
        <w:jc w:val="both"/>
        <w:textAlignment w:val="auto"/>
        <w:outlineLvl w:val="0"/>
        <w:rPr>
          <w:rFonts w:ascii="Times New Roman" w:hAnsi="Times New Roman" w:eastAsia="Calibri" w:cs="Times New Roman"/>
          <w:b/>
          <w:bCs/>
          <w:sz w:val="28"/>
          <w:szCs w:val="28"/>
          <w:lang w:eastAsia="ru-RU"/>
        </w:rPr>
      </w:pPr>
    </w:p>
    <w:p w14:paraId="3ED1A573">
      <w:pPr>
        <w:keepNext w:val="0"/>
        <w:keepLines w:val="0"/>
        <w:pageBreakBefore w:val="0"/>
        <w:widowControl w:val="0"/>
        <w:kinsoku/>
        <w:wordWrap/>
        <w:overflowPunct/>
        <w:topLinePunct w:val="0"/>
        <w:autoSpaceDE w:val="0"/>
        <w:autoSpaceDN w:val="0"/>
        <w:bidi w:val="0"/>
        <w:adjustRightInd/>
        <w:snapToGrid/>
        <w:spacing w:beforeAutospacing="0" w:after="0" w:afterAutospacing="0" w:line="240" w:lineRule="auto"/>
        <w:jc w:val="both"/>
        <w:textAlignment w:val="auto"/>
        <w:outlineLvl w:val="0"/>
        <w:rPr>
          <w:rFonts w:ascii="Times New Roman" w:hAnsi="Times New Roman" w:eastAsia="Calibri" w:cs="Times New Roman"/>
          <w:b/>
          <w:bCs/>
          <w:sz w:val="28"/>
          <w:szCs w:val="28"/>
          <w:lang w:eastAsia="ru-RU"/>
        </w:rPr>
      </w:pPr>
    </w:p>
    <w:p w14:paraId="7C4942DB">
      <w:pPr>
        <w:keepNext w:val="0"/>
        <w:keepLines w:val="0"/>
        <w:pageBreakBefore w:val="0"/>
        <w:widowControl w:val="0"/>
        <w:kinsoku/>
        <w:wordWrap/>
        <w:overflowPunct/>
        <w:topLinePunct w:val="0"/>
        <w:autoSpaceDE w:val="0"/>
        <w:autoSpaceDN w:val="0"/>
        <w:bidi w:val="0"/>
        <w:adjustRightInd/>
        <w:snapToGrid/>
        <w:spacing w:beforeAutospacing="0" w:after="0" w:afterAutospacing="0" w:line="240" w:lineRule="auto"/>
        <w:jc w:val="both"/>
        <w:textAlignment w:val="auto"/>
        <w:outlineLvl w:val="0"/>
        <w:rPr>
          <w:rFonts w:ascii="Times New Roman" w:hAnsi="Times New Roman" w:eastAsia="Calibri" w:cs="Times New Roman"/>
          <w:b/>
          <w:bCs/>
          <w:sz w:val="28"/>
          <w:szCs w:val="28"/>
          <w:lang w:eastAsia="ru-RU"/>
        </w:rPr>
      </w:pPr>
    </w:p>
    <w:p w14:paraId="3D6B828D">
      <w:pPr>
        <w:widowControl w:val="0"/>
        <w:autoSpaceDE w:val="0"/>
        <w:autoSpaceDN w:val="0"/>
        <w:spacing w:after="0" w:line="276" w:lineRule="auto"/>
        <w:jc w:val="both"/>
        <w:outlineLvl w:val="0"/>
        <w:rPr>
          <w:rFonts w:ascii="Times New Roman" w:hAnsi="Times New Roman" w:eastAsia="Calibri" w:cs="Times New Roman"/>
          <w:b/>
          <w:bCs/>
          <w:sz w:val="28"/>
          <w:szCs w:val="28"/>
          <w:lang w:eastAsia="ru-RU"/>
        </w:rPr>
      </w:pPr>
    </w:p>
    <w:p w14:paraId="4B774089">
      <w:pPr>
        <w:widowControl w:val="0"/>
        <w:autoSpaceDE w:val="0"/>
        <w:autoSpaceDN w:val="0"/>
        <w:spacing w:after="0" w:line="276" w:lineRule="auto"/>
        <w:jc w:val="both"/>
        <w:outlineLvl w:val="0"/>
        <w:rPr>
          <w:rFonts w:ascii="Times New Roman" w:hAnsi="Times New Roman" w:eastAsia="Calibri" w:cs="Times New Roman"/>
          <w:b/>
          <w:bCs/>
          <w:sz w:val="28"/>
          <w:szCs w:val="28"/>
          <w:lang w:eastAsia="ru-RU"/>
        </w:rPr>
      </w:pPr>
    </w:p>
    <w:p w14:paraId="7920E548">
      <w:pPr>
        <w:widowControl w:val="0"/>
        <w:autoSpaceDE w:val="0"/>
        <w:autoSpaceDN w:val="0"/>
        <w:spacing w:after="0" w:line="276" w:lineRule="auto"/>
        <w:jc w:val="both"/>
        <w:outlineLvl w:val="0"/>
        <w:rPr>
          <w:rFonts w:ascii="Times New Roman" w:hAnsi="Times New Roman" w:eastAsia="Calibri" w:cs="Times New Roman"/>
          <w:b/>
          <w:bCs/>
          <w:sz w:val="28"/>
          <w:szCs w:val="28"/>
          <w:lang w:eastAsia="ru-RU"/>
        </w:rPr>
      </w:pPr>
    </w:p>
    <w:p w14:paraId="12E3E01F">
      <w:pPr>
        <w:widowControl w:val="0"/>
        <w:autoSpaceDE w:val="0"/>
        <w:autoSpaceDN w:val="0"/>
        <w:spacing w:after="0" w:line="276" w:lineRule="auto"/>
        <w:jc w:val="both"/>
        <w:outlineLvl w:val="0"/>
        <w:rPr>
          <w:rFonts w:ascii="Times New Roman" w:hAnsi="Times New Roman" w:eastAsia="Calibri" w:cs="Times New Roman"/>
          <w:b/>
          <w:bCs/>
          <w:sz w:val="28"/>
          <w:szCs w:val="28"/>
          <w:lang w:eastAsia="ru-RU"/>
        </w:rPr>
      </w:pPr>
    </w:p>
    <w:p w14:paraId="75E5F6BE">
      <w:pPr>
        <w:widowControl w:val="0"/>
        <w:autoSpaceDE w:val="0"/>
        <w:autoSpaceDN w:val="0"/>
        <w:spacing w:after="0" w:line="276" w:lineRule="auto"/>
        <w:jc w:val="both"/>
        <w:outlineLvl w:val="0"/>
        <w:rPr>
          <w:rFonts w:ascii="Times New Roman" w:hAnsi="Times New Roman" w:eastAsia="Calibri" w:cs="Times New Roman"/>
          <w:b/>
          <w:bCs/>
          <w:sz w:val="28"/>
          <w:szCs w:val="28"/>
          <w:lang w:eastAsia="ru-RU"/>
        </w:rPr>
      </w:pPr>
    </w:p>
    <w:p w14:paraId="7FAD706D">
      <w:pPr>
        <w:widowControl w:val="0"/>
        <w:autoSpaceDE w:val="0"/>
        <w:autoSpaceDN w:val="0"/>
        <w:spacing w:after="0" w:line="276" w:lineRule="auto"/>
        <w:jc w:val="both"/>
        <w:outlineLvl w:val="0"/>
        <w:rPr>
          <w:rFonts w:ascii="Times New Roman" w:hAnsi="Times New Roman" w:eastAsia="Calibri" w:cs="Times New Roman"/>
          <w:b/>
          <w:bCs/>
          <w:sz w:val="28"/>
          <w:szCs w:val="28"/>
          <w:lang w:eastAsia="ru-RU"/>
        </w:rPr>
      </w:pPr>
    </w:p>
    <w:p w14:paraId="3BBF0307">
      <w:pPr>
        <w:widowControl w:val="0"/>
        <w:autoSpaceDE w:val="0"/>
        <w:autoSpaceDN w:val="0"/>
        <w:spacing w:after="0" w:line="276" w:lineRule="auto"/>
        <w:jc w:val="both"/>
        <w:outlineLvl w:val="0"/>
        <w:rPr>
          <w:rFonts w:ascii="Times New Roman" w:hAnsi="Times New Roman" w:eastAsia="Calibri" w:cs="Times New Roman"/>
          <w:b/>
          <w:bCs/>
          <w:sz w:val="28"/>
          <w:szCs w:val="28"/>
          <w:lang w:val="kk-KZ" w:eastAsia="ru-RU"/>
        </w:rPr>
      </w:pPr>
    </w:p>
    <w:p w14:paraId="5908E76A">
      <w:pPr>
        <w:widowControl w:val="0"/>
        <w:autoSpaceDE w:val="0"/>
        <w:autoSpaceDN w:val="0"/>
        <w:spacing w:after="0" w:line="276" w:lineRule="auto"/>
        <w:jc w:val="both"/>
        <w:outlineLvl w:val="0"/>
        <w:rPr>
          <w:rFonts w:ascii="Times New Roman" w:hAnsi="Times New Roman" w:eastAsia="Calibri" w:cs="Times New Roman"/>
          <w:b/>
          <w:bCs/>
          <w:sz w:val="28"/>
          <w:szCs w:val="28"/>
          <w:lang w:val="kk-KZ" w:eastAsia="ru-RU"/>
        </w:rPr>
      </w:pPr>
    </w:p>
    <w:p w14:paraId="40A31389">
      <w:pPr>
        <w:widowControl w:val="0"/>
        <w:autoSpaceDE w:val="0"/>
        <w:autoSpaceDN w:val="0"/>
        <w:spacing w:after="0" w:line="276" w:lineRule="auto"/>
        <w:jc w:val="both"/>
        <w:outlineLvl w:val="0"/>
        <w:rPr>
          <w:rFonts w:ascii="Times New Roman" w:hAnsi="Times New Roman" w:eastAsia="Calibri" w:cs="Times New Roman"/>
          <w:b/>
          <w:bCs/>
          <w:sz w:val="28"/>
          <w:szCs w:val="28"/>
          <w:lang w:val="kk-KZ" w:eastAsia="ru-RU"/>
        </w:rPr>
      </w:pPr>
    </w:p>
    <w:p w14:paraId="149AABD8">
      <w:pPr>
        <w:widowControl w:val="0"/>
        <w:autoSpaceDE w:val="0"/>
        <w:autoSpaceDN w:val="0"/>
        <w:spacing w:after="0" w:line="276" w:lineRule="auto"/>
        <w:jc w:val="both"/>
        <w:outlineLvl w:val="0"/>
        <w:rPr>
          <w:rFonts w:ascii="Times New Roman" w:hAnsi="Times New Roman" w:eastAsia="Calibri" w:cs="Times New Roman"/>
          <w:b/>
          <w:bCs/>
          <w:sz w:val="28"/>
          <w:szCs w:val="28"/>
          <w:lang w:val="kk-KZ" w:eastAsia="ru-RU"/>
        </w:rPr>
      </w:pPr>
    </w:p>
    <w:p w14:paraId="19ECE90B">
      <w:pPr>
        <w:widowControl w:val="0"/>
        <w:autoSpaceDE w:val="0"/>
        <w:autoSpaceDN w:val="0"/>
        <w:spacing w:after="0" w:line="276" w:lineRule="auto"/>
        <w:jc w:val="both"/>
        <w:outlineLvl w:val="0"/>
        <w:rPr>
          <w:rFonts w:ascii="Times New Roman" w:hAnsi="Times New Roman" w:eastAsia="Calibri" w:cs="Times New Roman"/>
          <w:b/>
          <w:bCs/>
          <w:sz w:val="28"/>
          <w:szCs w:val="28"/>
          <w:lang w:val="kk-KZ" w:eastAsia="ru-RU"/>
        </w:rPr>
      </w:pPr>
    </w:p>
    <w:p w14:paraId="3DC55A97">
      <w:pPr>
        <w:widowControl w:val="0"/>
        <w:autoSpaceDE w:val="0"/>
        <w:autoSpaceDN w:val="0"/>
        <w:spacing w:after="0" w:line="276" w:lineRule="auto"/>
        <w:jc w:val="both"/>
        <w:outlineLvl w:val="0"/>
        <w:rPr>
          <w:rFonts w:ascii="Times New Roman" w:hAnsi="Times New Roman" w:eastAsia="Calibri" w:cs="Times New Roman"/>
          <w:b/>
          <w:bCs/>
          <w:sz w:val="28"/>
          <w:szCs w:val="28"/>
          <w:lang w:val="kk-KZ" w:eastAsia="ru-RU"/>
        </w:rPr>
      </w:pPr>
    </w:p>
    <w:p w14:paraId="0EDFDB4F">
      <w:pPr>
        <w:widowControl w:val="0"/>
        <w:autoSpaceDE w:val="0"/>
        <w:autoSpaceDN w:val="0"/>
        <w:spacing w:after="0" w:line="276" w:lineRule="auto"/>
        <w:jc w:val="both"/>
        <w:outlineLvl w:val="0"/>
        <w:rPr>
          <w:rFonts w:ascii="Times New Roman" w:hAnsi="Times New Roman" w:eastAsia="Calibri" w:cs="Times New Roman"/>
          <w:b/>
          <w:bCs/>
          <w:sz w:val="28"/>
          <w:szCs w:val="28"/>
          <w:lang w:val="kk-KZ" w:eastAsia="ru-RU"/>
        </w:rPr>
      </w:pPr>
    </w:p>
    <w:p w14:paraId="2C9446A6">
      <w:pPr>
        <w:widowControl w:val="0"/>
        <w:autoSpaceDE w:val="0"/>
        <w:autoSpaceDN w:val="0"/>
        <w:spacing w:after="0" w:line="276" w:lineRule="auto"/>
        <w:jc w:val="both"/>
        <w:outlineLvl w:val="0"/>
        <w:rPr>
          <w:rFonts w:ascii="Times New Roman" w:hAnsi="Times New Roman" w:eastAsia="Calibri" w:cs="Times New Roman"/>
          <w:b/>
          <w:bCs/>
          <w:sz w:val="28"/>
          <w:szCs w:val="28"/>
          <w:lang w:val="kk-KZ" w:eastAsia="ru-RU"/>
        </w:rPr>
      </w:pPr>
    </w:p>
    <w:p w14:paraId="252003F0">
      <w:pPr>
        <w:widowControl w:val="0"/>
        <w:autoSpaceDE w:val="0"/>
        <w:autoSpaceDN w:val="0"/>
        <w:spacing w:after="0" w:line="276" w:lineRule="auto"/>
        <w:jc w:val="both"/>
        <w:outlineLvl w:val="0"/>
        <w:rPr>
          <w:rFonts w:ascii="Times New Roman" w:hAnsi="Times New Roman" w:eastAsia="Calibri" w:cs="Times New Roman"/>
          <w:b/>
          <w:bCs/>
          <w:sz w:val="28"/>
          <w:szCs w:val="28"/>
          <w:lang w:val="kk-KZ" w:eastAsia="ru-RU"/>
        </w:rPr>
      </w:pPr>
    </w:p>
    <w:p w14:paraId="3CAB8930">
      <w:pPr>
        <w:widowControl w:val="0"/>
        <w:autoSpaceDE w:val="0"/>
        <w:autoSpaceDN w:val="0"/>
        <w:spacing w:after="0" w:line="276" w:lineRule="auto"/>
        <w:jc w:val="both"/>
        <w:outlineLvl w:val="0"/>
        <w:rPr>
          <w:rFonts w:ascii="Times New Roman" w:hAnsi="Times New Roman" w:eastAsia="Calibri" w:cs="Times New Roman"/>
          <w:b/>
          <w:bCs/>
          <w:sz w:val="28"/>
          <w:szCs w:val="28"/>
          <w:lang w:val="kk-KZ" w:eastAsia="ru-RU"/>
        </w:rPr>
      </w:pPr>
    </w:p>
    <w:p w14:paraId="62424422">
      <w:pPr>
        <w:widowControl w:val="0"/>
        <w:autoSpaceDE w:val="0"/>
        <w:autoSpaceDN w:val="0"/>
        <w:spacing w:after="0" w:line="276" w:lineRule="auto"/>
        <w:jc w:val="both"/>
        <w:outlineLvl w:val="0"/>
        <w:rPr>
          <w:rFonts w:ascii="Times New Roman" w:hAnsi="Times New Roman" w:eastAsia="Calibri" w:cs="Times New Roman"/>
          <w:b/>
          <w:bCs/>
          <w:sz w:val="28"/>
          <w:szCs w:val="28"/>
          <w:lang w:val="kk-KZ" w:eastAsia="ru-RU"/>
        </w:rPr>
      </w:pPr>
    </w:p>
    <w:p w14:paraId="29E40015">
      <w:pPr>
        <w:widowControl w:val="0"/>
        <w:autoSpaceDE w:val="0"/>
        <w:autoSpaceDN w:val="0"/>
        <w:spacing w:after="0" w:line="276" w:lineRule="auto"/>
        <w:jc w:val="both"/>
        <w:outlineLvl w:val="0"/>
        <w:rPr>
          <w:rFonts w:ascii="Times New Roman" w:hAnsi="Times New Roman" w:eastAsia="Calibri" w:cs="Times New Roman"/>
          <w:b/>
          <w:bCs/>
          <w:sz w:val="28"/>
          <w:szCs w:val="28"/>
          <w:lang w:eastAsia="ru-RU"/>
        </w:rPr>
      </w:pPr>
    </w:p>
    <w:p w14:paraId="2AE3E59F">
      <w:pPr>
        <w:widowControl w:val="0"/>
        <w:autoSpaceDE w:val="0"/>
        <w:autoSpaceDN w:val="0"/>
        <w:spacing w:after="0" w:line="276" w:lineRule="auto"/>
        <w:jc w:val="both"/>
        <w:outlineLvl w:val="0"/>
        <w:rPr>
          <w:rFonts w:ascii="Times New Roman" w:hAnsi="Times New Roman" w:eastAsia="Calibri" w:cs="Times New Roman"/>
          <w:b/>
          <w:bCs/>
          <w:sz w:val="28"/>
          <w:szCs w:val="28"/>
          <w:lang w:eastAsia="ru-RU"/>
        </w:rPr>
      </w:pPr>
    </w:p>
    <w:p w14:paraId="1707CB1E">
      <w:pPr>
        <w:widowControl w:val="0"/>
        <w:autoSpaceDE w:val="0"/>
        <w:autoSpaceDN w:val="0"/>
        <w:spacing w:after="0" w:line="276" w:lineRule="auto"/>
        <w:jc w:val="both"/>
        <w:outlineLvl w:val="0"/>
        <w:rPr>
          <w:rFonts w:ascii="Times New Roman" w:hAnsi="Times New Roman" w:eastAsia="Calibri" w:cs="Times New Roman"/>
          <w:b/>
          <w:bCs/>
          <w:sz w:val="28"/>
          <w:szCs w:val="28"/>
          <w:lang w:eastAsia="ru-RU"/>
        </w:rPr>
      </w:pPr>
      <w:r>
        <w:rPr>
          <w:rFonts w:ascii="Times New Roman" w:hAnsi="Times New Roman" w:eastAsia="Calibri" w:cs="Times New Roman"/>
          <w:b/>
          <w:bCs/>
          <w:sz w:val="28"/>
          <w:szCs w:val="28"/>
          <w:lang w:eastAsia="ru-RU"/>
        </w:rPr>
        <w:t>ПРАКТИКАЛЫҚ ҰСЫНЫСТАР</w:t>
      </w:r>
    </w:p>
    <w:p w14:paraId="44F699C2">
      <w:pPr>
        <w:pStyle w:val="12"/>
        <w:keepNext w:val="0"/>
        <w:keepLines w:val="0"/>
        <w:widowControl/>
        <w:suppressLineNumbers w:val="0"/>
        <w:spacing w:before="0" w:beforeAutospacing="1" w:after="0" w:afterAutospacing="1"/>
        <w:ind w:left="0" w:right="0"/>
        <w:rPr>
          <w:rFonts w:hint="default" w:ascii="Times New Roman" w:hAnsi="Times New Roman" w:cs="Times New Roman"/>
          <w:sz w:val="28"/>
          <w:szCs w:val="28"/>
        </w:rPr>
      </w:pPr>
      <w:r>
        <w:rPr>
          <w:rStyle w:val="8"/>
          <w:rFonts w:hint="default" w:ascii="Times New Roman" w:hAnsi="Times New Roman" w:cs="Times New Roman"/>
          <w:sz w:val="28"/>
          <w:szCs w:val="28"/>
        </w:rPr>
        <w:t>1.</w:t>
      </w:r>
      <w:r>
        <w:rPr>
          <w:rFonts w:hint="default" w:ascii="Times New Roman" w:hAnsi="Times New Roman" w:cs="Times New Roman"/>
          <w:sz w:val="28"/>
          <w:szCs w:val="28"/>
        </w:rPr>
        <w:t xml:space="preserve"> Гепсидин деңгейін бағалау жүктілерде анемияның даму қаупін ерте кезеңде болжау, терапияны уақтылы бастау және асқынулардың алдын алу мақсатында скринингтік бағдарламаларға енгізу үшін ұсынылады.</w:t>
      </w:r>
    </w:p>
    <w:p w14:paraId="619C05FC">
      <w:pPr>
        <w:pStyle w:val="12"/>
        <w:keepNext w:val="0"/>
        <w:keepLines w:val="0"/>
        <w:widowControl/>
        <w:suppressLineNumbers w:val="0"/>
        <w:spacing w:before="0" w:beforeAutospacing="1" w:after="0" w:afterAutospacing="1"/>
        <w:ind w:left="0" w:right="0"/>
        <w:rPr>
          <w:rFonts w:hint="default" w:ascii="Times New Roman" w:hAnsi="Times New Roman" w:cs="Times New Roman"/>
          <w:sz w:val="28"/>
          <w:szCs w:val="28"/>
        </w:rPr>
      </w:pPr>
      <w:r>
        <w:rPr>
          <w:rStyle w:val="8"/>
          <w:rFonts w:hint="default" w:ascii="Times New Roman" w:hAnsi="Times New Roman" w:cs="Times New Roman"/>
          <w:sz w:val="28"/>
          <w:szCs w:val="28"/>
        </w:rPr>
        <w:t>2.</w:t>
      </w:r>
      <w:r>
        <w:rPr>
          <w:rFonts w:hint="default" w:ascii="Times New Roman" w:hAnsi="Times New Roman" w:cs="Times New Roman"/>
          <w:sz w:val="28"/>
          <w:szCs w:val="28"/>
        </w:rPr>
        <w:t xml:space="preserve"> Интерлейкин–6 және С-реактивті ақуыз деңгейін бақылау семіздікпен байланысты қабыну процестерінің белсенділігін бағалауға мүмкіндік береді. Интерлейкин–6-ның жоғары болжамдық маңыздылығы оны жүкті әйелдерде (гестациялық қант диабеті, гипертензия, анемия) асқынулар қаупінің маркері ретінде ұсынуға мүмкіндік береді.</w:t>
      </w:r>
    </w:p>
    <w:p w14:paraId="045DD9ED">
      <w:pPr>
        <w:pStyle w:val="12"/>
        <w:keepNext w:val="0"/>
        <w:keepLines w:val="0"/>
        <w:widowControl/>
        <w:suppressLineNumbers w:val="0"/>
        <w:spacing w:before="0" w:beforeAutospacing="1" w:after="0" w:afterAutospacing="1"/>
        <w:ind w:left="0" w:right="0"/>
        <w:rPr>
          <w:rFonts w:hint="default" w:ascii="Times New Roman" w:hAnsi="Times New Roman" w:cs="Times New Roman"/>
          <w:sz w:val="28"/>
          <w:szCs w:val="28"/>
        </w:rPr>
      </w:pPr>
      <w:r>
        <w:rPr>
          <w:rStyle w:val="8"/>
          <w:rFonts w:hint="default" w:ascii="Times New Roman" w:hAnsi="Times New Roman" w:cs="Times New Roman"/>
          <w:sz w:val="28"/>
          <w:szCs w:val="28"/>
        </w:rPr>
        <w:t>3.</w:t>
      </w:r>
      <w:r>
        <w:rPr>
          <w:rFonts w:hint="default" w:ascii="Times New Roman" w:hAnsi="Times New Roman" w:cs="Times New Roman"/>
          <w:sz w:val="28"/>
          <w:szCs w:val="28"/>
        </w:rPr>
        <w:t xml:space="preserve"> Гепсидин, ферритин, И</w:t>
      </w:r>
      <w:r>
        <w:rPr>
          <w:rFonts w:hint="default" w:ascii="Times New Roman" w:hAnsi="Times New Roman" w:cs="Times New Roman"/>
          <w:sz w:val="28"/>
          <w:szCs w:val="28"/>
          <w:lang w:val="kk-KZ"/>
        </w:rPr>
        <w:t>нтерлейкин</w:t>
      </w:r>
      <w:r>
        <w:rPr>
          <w:rFonts w:hint="default" w:ascii="Times New Roman" w:hAnsi="Times New Roman" w:cs="Times New Roman"/>
          <w:sz w:val="28"/>
          <w:szCs w:val="28"/>
        </w:rPr>
        <w:t>–6 және С-реактивті ақуыз секілді қабыну және анемия маркерлерін интеграцияланған түрде бағалау олардың жүкті әйелдердегі анемияны ерте диагностикалаудағы болжамдық маңыздылығын едәуір арттырады.</w:t>
      </w:r>
    </w:p>
    <w:p w14:paraId="43AF83E9">
      <w:pPr>
        <w:pStyle w:val="12"/>
        <w:keepNext w:val="0"/>
        <w:keepLines w:val="0"/>
        <w:widowControl/>
        <w:suppressLineNumbers w:val="0"/>
        <w:spacing w:before="0" w:beforeAutospacing="1" w:after="0" w:afterAutospacing="1"/>
        <w:ind w:left="0" w:right="0"/>
        <w:rPr>
          <w:rFonts w:hint="default" w:ascii="Times New Roman" w:hAnsi="Times New Roman" w:cs="Times New Roman"/>
          <w:sz w:val="28"/>
          <w:szCs w:val="28"/>
        </w:rPr>
      </w:pPr>
      <w:r>
        <w:rPr>
          <w:rStyle w:val="8"/>
          <w:rFonts w:hint="default" w:ascii="Times New Roman" w:hAnsi="Times New Roman" w:cs="Times New Roman"/>
          <w:sz w:val="28"/>
          <w:szCs w:val="28"/>
        </w:rPr>
        <w:t>4.</w:t>
      </w:r>
      <w:r>
        <w:rPr>
          <w:rFonts w:hint="default" w:ascii="Times New Roman" w:hAnsi="Times New Roman" w:cs="Times New Roman"/>
          <w:sz w:val="28"/>
          <w:szCs w:val="28"/>
        </w:rPr>
        <w:t xml:space="preserve"> Құрастырылған прогностикалық модель мен патогенездік алгоритм семіздікпен байланысты анемияны диагностикалау және болжау құралдары ретінде ұсынылады; бұл жүкті әйелдер арасынан қауіп тобына жататындарды уақтылы анықтауға, емдеу мен алдын алу тактикасын белгілеуге мүмкіндік береді.</w:t>
      </w:r>
    </w:p>
    <w:p w14:paraId="4A81FEA4">
      <w:pPr>
        <w:widowControl w:val="0"/>
        <w:autoSpaceDE w:val="0"/>
        <w:autoSpaceDN w:val="0"/>
        <w:spacing w:after="0" w:line="276" w:lineRule="auto"/>
        <w:jc w:val="both"/>
        <w:outlineLvl w:val="0"/>
        <w:rPr>
          <w:rFonts w:ascii="Times New Roman" w:hAnsi="Times New Roman" w:eastAsia="Times New Roman" w:cs="Times New Roman"/>
          <w:b/>
          <w:bCs/>
          <w:sz w:val="28"/>
          <w:szCs w:val="28"/>
          <w:lang w:eastAsia="ru-RU"/>
        </w:rPr>
      </w:pPr>
      <w:r>
        <w:rPr>
          <w:rFonts w:ascii="Times New Roman" w:hAnsi="Times New Roman" w:eastAsia="Times New Roman" w:cs="Times New Roman"/>
          <w:b/>
          <w:bCs/>
          <w:sz w:val="28"/>
          <w:szCs w:val="28"/>
          <w:lang w:eastAsia="ru-RU"/>
        </w:rPr>
        <w:t xml:space="preserve"> </w:t>
      </w:r>
    </w:p>
    <w:p w14:paraId="7812C240">
      <w:pPr>
        <w:widowControl w:val="0"/>
        <w:autoSpaceDE w:val="0"/>
        <w:autoSpaceDN w:val="0"/>
        <w:spacing w:after="0" w:line="276" w:lineRule="auto"/>
        <w:ind w:firstLine="709"/>
        <w:jc w:val="both"/>
        <w:outlineLvl w:val="0"/>
        <w:rPr>
          <w:rFonts w:ascii="Times New Roman" w:hAnsi="Times New Roman" w:eastAsia="Times New Roman" w:cs="Times New Roman"/>
          <w:b/>
          <w:bCs/>
          <w:sz w:val="28"/>
          <w:szCs w:val="28"/>
          <w:lang w:eastAsia="ru-RU"/>
        </w:rPr>
      </w:pPr>
      <w:r>
        <w:rPr>
          <w:rFonts w:ascii="Times New Roman" w:hAnsi="Times New Roman" w:eastAsia="Times New Roman" w:cs="Times New Roman"/>
          <w:b/>
          <w:bCs/>
          <w:sz w:val="28"/>
          <w:szCs w:val="28"/>
          <w:lang w:eastAsia="ru-RU"/>
        </w:rPr>
        <w:t xml:space="preserve"> </w:t>
      </w:r>
    </w:p>
    <w:p w14:paraId="02B307F1">
      <w:pPr>
        <w:widowControl w:val="0"/>
        <w:autoSpaceDE w:val="0"/>
        <w:autoSpaceDN w:val="0"/>
        <w:spacing w:after="0" w:line="276" w:lineRule="auto"/>
        <w:ind w:firstLine="709"/>
        <w:jc w:val="both"/>
        <w:outlineLvl w:val="0"/>
        <w:rPr>
          <w:rFonts w:ascii="Times New Roman" w:hAnsi="Times New Roman" w:eastAsia="Times New Roman" w:cs="Times New Roman"/>
          <w:b/>
          <w:bCs/>
          <w:sz w:val="28"/>
          <w:szCs w:val="28"/>
          <w:lang w:eastAsia="ru-RU"/>
        </w:rPr>
      </w:pPr>
      <w:r>
        <w:rPr>
          <w:rFonts w:ascii="Times New Roman" w:hAnsi="Times New Roman" w:eastAsia="Times New Roman" w:cs="Times New Roman"/>
          <w:b/>
          <w:bCs/>
          <w:sz w:val="28"/>
          <w:szCs w:val="28"/>
          <w:lang w:eastAsia="ru-RU"/>
        </w:rPr>
        <w:t xml:space="preserve"> </w:t>
      </w:r>
    </w:p>
    <w:p w14:paraId="2944513D">
      <w:pPr>
        <w:widowControl w:val="0"/>
        <w:autoSpaceDE w:val="0"/>
        <w:autoSpaceDN w:val="0"/>
        <w:spacing w:after="0" w:line="276" w:lineRule="auto"/>
        <w:ind w:firstLine="709"/>
        <w:jc w:val="both"/>
        <w:outlineLvl w:val="0"/>
        <w:rPr>
          <w:rFonts w:ascii="Times New Roman" w:hAnsi="Times New Roman" w:eastAsia="Times New Roman" w:cs="Times New Roman"/>
          <w:b/>
          <w:bCs/>
          <w:sz w:val="28"/>
          <w:szCs w:val="28"/>
          <w:lang w:eastAsia="ru-RU"/>
        </w:rPr>
      </w:pPr>
      <w:r>
        <w:rPr>
          <w:rFonts w:ascii="Times New Roman" w:hAnsi="Times New Roman" w:eastAsia="Times New Roman" w:cs="Times New Roman"/>
          <w:b/>
          <w:bCs/>
          <w:sz w:val="28"/>
          <w:szCs w:val="28"/>
          <w:lang w:eastAsia="ru-RU"/>
        </w:rPr>
        <w:t xml:space="preserve"> </w:t>
      </w:r>
    </w:p>
    <w:p w14:paraId="3CED5CD7">
      <w:pPr>
        <w:widowControl w:val="0"/>
        <w:autoSpaceDE w:val="0"/>
        <w:autoSpaceDN w:val="0"/>
        <w:spacing w:after="0" w:line="276" w:lineRule="auto"/>
        <w:ind w:firstLine="709"/>
        <w:jc w:val="both"/>
        <w:outlineLvl w:val="0"/>
        <w:rPr>
          <w:rFonts w:ascii="Times New Roman" w:hAnsi="Times New Roman" w:eastAsia="Times New Roman" w:cs="Times New Roman"/>
          <w:b/>
          <w:bCs/>
          <w:sz w:val="28"/>
          <w:szCs w:val="28"/>
          <w:lang w:eastAsia="ru-RU"/>
        </w:rPr>
      </w:pPr>
      <w:r>
        <w:rPr>
          <w:rFonts w:ascii="Times New Roman" w:hAnsi="Times New Roman" w:eastAsia="Times New Roman" w:cs="Times New Roman"/>
          <w:b/>
          <w:bCs/>
          <w:sz w:val="28"/>
          <w:szCs w:val="28"/>
          <w:lang w:eastAsia="ru-RU"/>
        </w:rPr>
        <w:t xml:space="preserve"> </w:t>
      </w:r>
    </w:p>
    <w:p w14:paraId="790F801D">
      <w:pPr>
        <w:widowControl w:val="0"/>
        <w:autoSpaceDE w:val="0"/>
        <w:autoSpaceDN w:val="0"/>
        <w:spacing w:after="0" w:line="276" w:lineRule="auto"/>
        <w:ind w:firstLine="709"/>
        <w:jc w:val="both"/>
        <w:outlineLvl w:val="0"/>
        <w:rPr>
          <w:rFonts w:ascii="Times New Roman" w:hAnsi="Times New Roman" w:eastAsia="Times New Roman" w:cs="Times New Roman"/>
          <w:b/>
          <w:bCs/>
          <w:sz w:val="28"/>
          <w:szCs w:val="28"/>
          <w:lang w:eastAsia="ru-RU"/>
        </w:rPr>
      </w:pPr>
      <w:r>
        <w:rPr>
          <w:rFonts w:ascii="Times New Roman" w:hAnsi="Times New Roman" w:eastAsia="Times New Roman" w:cs="Times New Roman"/>
          <w:b/>
          <w:bCs/>
          <w:sz w:val="28"/>
          <w:szCs w:val="28"/>
          <w:lang w:eastAsia="ru-RU"/>
        </w:rPr>
        <w:t xml:space="preserve"> </w:t>
      </w:r>
    </w:p>
    <w:p w14:paraId="62B2DAD5">
      <w:pPr>
        <w:widowControl w:val="0"/>
        <w:autoSpaceDE w:val="0"/>
        <w:autoSpaceDN w:val="0"/>
        <w:spacing w:after="0" w:line="276" w:lineRule="auto"/>
        <w:ind w:firstLine="709"/>
        <w:jc w:val="both"/>
        <w:outlineLvl w:val="0"/>
        <w:rPr>
          <w:rFonts w:ascii="Times New Roman" w:hAnsi="Times New Roman" w:eastAsia="Times New Roman" w:cs="Times New Roman"/>
          <w:b/>
          <w:bCs/>
          <w:sz w:val="28"/>
          <w:szCs w:val="28"/>
          <w:lang w:eastAsia="ru-RU"/>
        </w:rPr>
      </w:pPr>
      <w:r>
        <w:rPr>
          <w:rFonts w:ascii="Times New Roman" w:hAnsi="Times New Roman" w:eastAsia="Times New Roman" w:cs="Times New Roman"/>
          <w:b/>
          <w:bCs/>
          <w:sz w:val="28"/>
          <w:szCs w:val="28"/>
          <w:lang w:eastAsia="ru-RU"/>
        </w:rPr>
        <w:t xml:space="preserve"> </w:t>
      </w:r>
    </w:p>
    <w:p w14:paraId="028218CA">
      <w:pPr>
        <w:widowControl w:val="0"/>
        <w:autoSpaceDE w:val="0"/>
        <w:autoSpaceDN w:val="0"/>
        <w:spacing w:after="0" w:line="276" w:lineRule="auto"/>
        <w:ind w:firstLine="709"/>
        <w:jc w:val="both"/>
        <w:outlineLvl w:val="0"/>
        <w:rPr>
          <w:rFonts w:ascii="Times New Roman" w:hAnsi="Times New Roman" w:eastAsia="Times New Roman" w:cs="Times New Roman"/>
          <w:b/>
          <w:bCs/>
          <w:sz w:val="28"/>
          <w:szCs w:val="28"/>
          <w:lang w:eastAsia="ru-RU"/>
        </w:rPr>
      </w:pPr>
      <w:r>
        <w:rPr>
          <w:rFonts w:ascii="Times New Roman" w:hAnsi="Times New Roman" w:eastAsia="Times New Roman" w:cs="Times New Roman"/>
          <w:b/>
          <w:bCs/>
          <w:sz w:val="28"/>
          <w:szCs w:val="28"/>
          <w:lang w:eastAsia="ru-RU"/>
        </w:rPr>
        <w:t xml:space="preserve"> </w:t>
      </w:r>
    </w:p>
    <w:p w14:paraId="53FDB714">
      <w:pPr>
        <w:widowControl w:val="0"/>
        <w:autoSpaceDE w:val="0"/>
        <w:autoSpaceDN w:val="0"/>
        <w:spacing w:after="0" w:line="276" w:lineRule="auto"/>
        <w:ind w:firstLine="709"/>
        <w:jc w:val="both"/>
        <w:outlineLvl w:val="0"/>
        <w:rPr>
          <w:rFonts w:ascii="Times New Roman" w:hAnsi="Times New Roman" w:eastAsia="Times New Roman" w:cs="Times New Roman"/>
          <w:b/>
          <w:bCs/>
          <w:sz w:val="28"/>
          <w:szCs w:val="28"/>
          <w:lang w:eastAsia="ru-RU"/>
        </w:rPr>
      </w:pPr>
      <w:r>
        <w:rPr>
          <w:rFonts w:ascii="Times New Roman" w:hAnsi="Times New Roman" w:eastAsia="Times New Roman" w:cs="Times New Roman"/>
          <w:b/>
          <w:bCs/>
          <w:sz w:val="28"/>
          <w:szCs w:val="28"/>
          <w:lang w:eastAsia="ru-RU"/>
        </w:rPr>
        <w:t xml:space="preserve"> </w:t>
      </w:r>
    </w:p>
    <w:p w14:paraId="47654EDD">
      <w:pPr>
        <w:widowControl w:val="0"/>
        <w:autoSpaceDE w:val="0"/>
        <w:autoSpaceDN w:val="0"/>
        <w:spacing w:after="0" w:line="276" w:lineRule="auto"/>
        <w:ind w:firstLine="709"/>
        <w:jc w:val="both"/>
        <w:outlineLvl w:val="0"/>
        <w:rPr>
          <w:rFonts w:ascii="Times New Roman" w:hAnsi="Times New Roman" w:eastAsia="Times New Roman" w:cs="Times New Roman"/>
          <w:b/>
          <w:bCs/>
          <w:sz w:val="28"/>
          <w:szCs w:val="28"/>
          <w:lang w:eastAsia="ru-RU"/>
        </w:rPr>
      </w:pPr>
      <w:r>
        <w:rPr>
          <w:rFonts w:ascii="Times New Roman" w:hAnsi="Times New Roman" w:eastAsia="Times New Roman" w:cs="Times New Roman"/>
          <w:b/>
          <w:bCs/>
          <w:sz w:val="28"/>
          <w:szCs w:val="28"/>
          <w:lang w:eastAsia="ru-RU"/>
        </w:rPr>
        <w:t xml:space="preserve"> </w:t>
      </w:r>
    </w:p>
    <w:p w14:paraId="148F418A">
      <w:pPr>
        <w:widowControl w:val="0"/>
        <w:autoSpaceDE w:val="0"/>
        <w:autoSpaceDN w:val="0"/>
        <w:spacing w:after="0" w:line="276" w:lineRule="auto"/>
        <w:ind w:firstLine="709"/>
        <w:jc w:val="both"/>
        <w:outlineLvl w:val="0"/>
        <w:rPr>
          <w:rFonts w:ascii="Times New Roman" w:hAnsi="Times New Roman" w:eastAsia="Times New Roman" w:cs="Times New Roman"/>
          <w:b/>
          <w:bCs/>
          <w:sz w:val="28"/>
          <w:szCs w:val="28"/>
          <w:lang w:eastAsia="ru-RU"/>
        </w:rPr>
      </w:pPr>
      <w:r>
        <w:rPr>
          <w:rFonts w:ascii="Times New Roman" w:hAnsi="Times New Roman" w:eastAsia="Times New Roman" w:cs="Times New Roman"/>
          <w:b/>
          <w:bCs/>
          <w:sz w:val="28"/>
          <w:szCs w:val="28"/>
          <w:lang w:eastAsia="ru-RU"/>
        </w:rPr>
        <w:t xml:space="preserve"> </w:t>
      </w:r>
    </w:p>
    <w:p w14:paraId="56D20906">
      <w:pPr>
        <w:widowControl w:val="0"/>
        <w:autoSpaceDE w:val="0"/>
        <w:autoSpaceDN w:val="0"/>
        <w:spacing w:after="0" w:line="276" w:lineRule="auto"/>
        <w:ind w:firstLine="709"/>
        <w:jc w:val="both"/>
        <w:outlineLvl w:val="0"/>
        <w:rPr>
          <w:rFonts w:ascii="Times New Roman" w:hAnsi="Times New Roman" w:eastAsia="Times New Roman" w:cs="Times New Roman"/>
          <w:b/>
          <w:bCs/>
          <w:sz w:val="28"/>
          <w:szCs w:val="28"/>
          <w:lang w:eastAsia="ru-RU"/>
        </w:rPr>
      </w:pPr>
      <w:r>
        <w:rPr>
          <w:rFonts w:ascii="Times New Roman" w:hAnsi="Times New Roman" w:eastAsia="Times New Roman" w:cs="Times New Roman"/>
          <w:b/>
          <w:bCs/>
          <w:sz w:val="28"/>
          <w:szCs w:val="28"/>
          <w:lang w:eastAsia="ru-RU"/>
        </w:rPr>
        <w:t xml:space="preserve"> </w:t>
      </w:r>
    </w:p>
    <w:p w14:paraId="50AB0A7C">
      <w:pPr>
        <w:widowControl w:val="0"/>
        <w:autoSpaceDE w:val="0"/>
        <w:autoSpaceDN w:val="0"/>
        <w:spacing w:after="0" w:line="276" w:lineRule="auto"/>
        <w:ind w:firstLine="709"/>
        <w:jc w:val="both"/>
        <w:outlineLvl w:val="0"/>
        <w:rPr>
          <w:rFonts w:ascii="Times New Roman" w:hAnsi="Times New Roman" w:eastAsia="Times New Roman" w:cs="Times New Roman"/>
          <w:b/>
          <w:bCs/>
          <w:sz w:val="28"/>
          <w:szCs w:val="28"/>
          <w:lang w:eastAsia="ru-RU"/>
        </w:rPr>
      </w:pPr>
    </w:p>
    <w:p w14:paraId="52B1065E">
      <w:pPr>
        <w:widowControl w:val="0"/>
        <w:autoSpaceDE w:val="0"/>
        <w:autoSpaceDN w:val="0"/>
        <w:spacing w:after="0" w:line="276" w:lineRule="auto"/>
        <w:ind w:firstLine="709"/>
        <w:jc w:val="both"/>
        <w:outlineLvl w:val="0"/>
        <w:rPr>
          <w:rFonts w:ascii="Times New Roman" w:hAnsi="Times New Roman" w:eastAsia="Times New Roman" w:cs="Times New Roman"/>
          <w:b/>
          <w:bCs/>
          <w:sz w:val="28"/>
          <w:szCs w:val="28"/>
          <w:lang w:eastAsia="ru-RU"/>
        </w:rPr>
      </w:pPr>
      <w:r>
        <w:rPr>
          <w:rFonts w:ascii="Times New Roman" w:hAnsi="Times New Roman" w:eastAsia="Times New Roman" w:cs="Times New Roman"/>
          <w:b/>
          <w:bCs/>
          <w:sz w:val="28"/>
          <w:szCs w:val="28"/>
          <w:lang w:eastAsia="ru-RU"/>
        </w:rPr>
        <w:t xml:space="preserve"> </w:t>
      </w:r>
    </w:p>
    <w:p w14:paraId="6C4E2028">
      <w:pPr>
        <w:widowControl w:val="0"/>
        <w:autoSpaceDE w:val="0"/>
        <w:autoSpaceDN w:val="0"/>
        <w:spacing w:after="0" w:line="276" w:lineRule="auto"/>
        <w:ind w:firstLine="709"/>
        <w:jc w:val="both"/>
        <w:outlineLvl w:val="0"/>
        <w:rPr>
          <w:rFonts w:ascii="Times New Roman" w:hAnsi="Times New Roman" w:eastAsia="Times New Roman" w:cs="Times New Roman"/>
          <w:b/>
          <w:bCs/>
          <w:sz w:val="28"/>
          <w:szCs w:val="28"/>
          <w:lang w:eastAsia="ru-RU"/>
        </w:rPr>
      </w:pPr>
      <w:r>
        <w:rPr>
          <w:rFonts w:ascii="Times New Roman" w:hAnsi="Times New Roman" w:eastAsia="Times New Roman" w:cs="Times New Roman"/>
          <w:b/>
          <w:bCs/>
          <w:sz w:val="28"/>
          <w:szCs w:val="28"/>
          <w:lang w:eastAsia="ru-RU"/>
        </w:rPr>
        <w:t xml:space="preserve"> </w:t>
      </w:r>
    </w:p>
    <w:p w14:paraId="0C34A0D6">
      <w:pPr>
        <w:widowControl w:val="0"/>
        <w:autoSpaceDE w:val="0"/>
        <w:autoSpaceDN w:val="0"/>
        <w:spacing w:after="0" w:line="276" w:lineRule="auto"/>
        <w:ind w:firstLine="709"/>
        <w:jc w:val="both"/>
        <w:outlineLvl w:val="0"/>
        <w:rPr>
          <w:rFonts w:ascii="Times New Roman" w:hAnsi="Times New Roman" w:eastAsia="Times New Roman" w:cs="Times New Roman"/>
          <w:b/>
          <w:bCs/>
          <w:sz w:val="28"/>
          <w:szCs w:val="28"/>
          <w:lang w:eastAsia="ru-RU"/>
        </w:rPr>
      </w:pPr>
      <w:r>
        <w:rPr>
          <w:rFonts w:ascii="Times New Roman" w:hAnsi="Times New Roman" w:eastAsia="Times New Roman" w:cs="Times New Roman"/>
          <w:b/>
          <w:bCs/>
          <w:sz w:val="28"/>
          <w:szCs w:val="28"/>
          <w:lang w:eastAsia="ru-RU"/>
        </w:rPr>
        <w:t xml:space="preserve"> </w:t>
      </w:r>
    </w:p>
    <w:p w14:paraId="5A0AE06C">
      <w:pPr>
        <w:widowControl w:val="0"/>
        <w:autoSpaceDE w:val="0"/>
        <w:autoSpaceDN w:val="0"/>
        <w:spacing w:after="0" w:line="276" w:lineRule="auto"/>
        <w:ind w:firstLine="709"/>
        <w:jc w:val="both"/>
        <w:outlineLvl w:val="0"/>
        <w:rPr>
          <w:rFonts w:ascii="Times New Roman" w:hAnsi="Times New Roman" w:eastAsia="Times New Roman" w:cs="Times New Roman"/>
          <w:b/>
          <w:bCs/>
          <w:sz w:val="28"/>
          <w:szCs w:val="28"/>
          <w:lang w:eastAsia="ru-RU"/>
        </w:rPr>
      </w:pPr>
      <w:r>
        <w:rPr>
          <w:rFonts w:ascii="Times New Roman" w:hAnsi="Times New Roman" w:eastAsia="Times New Roman" w:cs="Times New Roman"/>
          <w:b/>
          <w:bCs/>
          <w:sz w:val="28"/>
          <w:szCs w:val="28"/>
          <w:lang w:eastAsia="ru-RU"/>
        </w:rPr>
        <w:t xml:space="preserve"> </w:t>
      </w:r>
    </w:p>
    <w:p w14:paraId="6E506F4A">
      <w:pPr>
        <w:widowControl w:val="0"/>
        <w:autoSpaceDE w:val="0"/>
        <w:autoSpaceDN w:val="0"/>
        <w:spacing w:after="0" w:line="276" w:lineRule="auto"/>
        <w:ind w:firstLine="709"/>
        <w:jc w:val="both"/>
        <w:outlineLvl w:val="0"/>
        <w:rPr>
          <w:rFonts w:ascii="Times New Roman" w:hAnsi="Times New Roman" w:eastAsia="Times New Roman" w:cs="Times New Roman"/>
          <w:b/>
          <w:bCs/>
          <w:sz w:val="28"/>
          <w:szCs w:val="28"/>
          <w:lang w:eastAsia="ru-RU"/>
        </w:rPr>
      </w:pPr>
      <w:r>
        <w:rPr>
          <w:rFonts w:ascii="Times New Roman" w:hAnsi="Times New Roman" w:eastAsia="Times New Roman" w:cs="Times New Roman"/>
          <w:b/>
          <w:bCs/>
          <w:sz w:val="28"/>
          <w:szCs w:val="28"/>
          <w:lang w:eastAsia="ru-RU"/>
        </w:rPr>
        <w:t xml:space="preserve"> </w:t>
      </w:r>
    </w:p>
    <w:p w14:paraId="1ECA64D8">
      <w:pPr>
        <w:widowControl w:val="0"/>
        <w:autoSpaceDE w:val="0"/>
        <w:autoSpaceDN w:val="0"/>
        <w:spacing w:after="0" w:line="276" w:lineRule="auto"/>
        <w:ind w:firstLine="709"/>
        <w:jc w:val="both"/>
        <w:outlineLvl w:val="0"/>
        <w:rPr>
          <w:rFonts w:ascii="Times New Roman" w:hAnsi="Times New Roman" w:eastAsia="Times New Roman" w:cs="Times New Roman"/>
          <w:b/>
          <w:bCs/>
          <w:sz w:val="28"/>
          <w:szCs w:val="28"/>
          <w:lang w:eastAsia="ru-RU"/>
        </w:rPr>
      </w:pPr>
      <w:r>
        <w:rPr>
          <w:rFonts w:ascii="Times New Roman" w:hAnsi="Times New Roman" w:eastAsia="Times New Roman" w:cs="Times New Roman"/>
          <w:b/>
          <w:bCs/>
          <w:sz w:val="28"/>
          <w:szCs w:val="28"/>
          <w:lang w:eastAsia="ru-RU"/>
        </w:rPr>
        <w:t xml:space="preserve">  </w:t>
      </w:r>
    </w:p>
    <w:p w14:paraId="558B68CA">
      <w:pPr>
        <w:widowControl w:val="0"/>
        <w:autoSpaceDE w:val="0"/>
        <w:autoSpaceDN w:val="0"/>
        <w:spacing w:after="0" w:line="276" w:lineRule="auto"/>
        <w:jc w:val="both"/>
        <w:outlineLvl w:val="0"/>
        <w:rPr>
          <w:rFonts w:ascii="Times New Roman" w:hAnsi="Times New Roman" w:eastAsia="Times New Roman" w:cs="Times New Roman"/>
          <w:b/>
          <w:bCs/>
          <w:sz w:val="28"/>
          <w:szCs w:val="28"/>
          <w:lang w:eastAsia="ru-RU"/>
        </w:rPr>
      </w:pPr>
      <w:r>
        <w:rPr>
          <w:rFonts w:ascii="Times New Roman" w:hAnsi="Times New Roman" w:eastAsia="Times New Roman" w:cs="Times New Roman"/>
          <w:b/>
          <w:bCs/>
          <w:sz w:val="28"/>
          <w:szCs w:val="28"/>
          <w:lang w:eastAsia="ru-RU"/>
        </w:rPr>
        <w:t xml:space="preserve"> ҚОЛДАНЫЛҒАН ӘДЕБИЕТТЕР ТІЗІМІ</w:t>
      </w:r>
    </w:p>
    <w:p w14:paraId="604001AB">
      <w:pPr>
        <w:widowControl w:val="0"/>
        <w:autoSpaceDE w:val="0"/>
        <w:autoSpaceDN w:val="0"/>
        <w:spacing w:after="0" w:line="276" w:lineRule="auto"/>
        <w:jc w:val="both"/>
        <w:outlineLvl w:val="0"/>
        <w:rPr>
          <w:rFonts w:ascii="Times New Roman" w:hAnsi="Times New Roman" w:eastAsia="Times New Roman" w:cs="Times New Roman"/>
          <w:b/>
          <w:bCs/>
          <w:sz w:val="28"/>
          <w:szCs w:val="28"/>
          <w:lang w:eastAsia="ru-RU"/>
        </w:rPr>
      </w:pPr>
    </w:p>
    <w:p w14:paraId="128CF9BB">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val="en-US" w:eastAsia="ru-RU"/>
        </w:rPr>
        <w:t xml:space="preserve">Marks P.W. Anemia. Clinical approach // Concise Guide to Hematology. – 2019. – </w:t>
      </w:r>
      <w:r>
        <w:rPr>
          <w:rFonts w:ascii="Times New Roman" w:hAnsi="Times New Roman" w:eastAsia="Times New Roman" w:cs="Times New Roman"/>
          <w:sz w:val="28"/>
          <w:szCs w:val="28"/>
          <w:lang w:eastAsia="ru-RU"/>
        </w:rPr>
        <w:t>Б</w:t>
      </w:r>
      <w:r>
        <w:rPr>
          <w:rFonts w:ascii="Times New Roman" w:hAnsi="Times New Roman" w:eastAsia="Times New Roman" w:cs="Times New Roman"/>
          <w:sz w:val="28"/>
          <w:szCs w:val="28"/>
          <w:lang w:val="en-US" w:eastAsia="ru-RU"/>
        </w:rPr>
        <w:t xml:space="preserve">. 21–27. </w:t>
      </w:r>
      <w:r>
        <w:rPr>
          <w:rFonts w:ascii="Times New Roman" w:hAnsi="Times New Roman" w:eastAsia="Times New Roman" w:cs="Times New Roman"/>
          <w:sz w:val="28"/>
          <w:szCs w:val="28"/>
          <w:lang w:eastAsia="ru-RU"/>
        </w:rPr>
        <w:t>DOI: 10.1007/978–319–978773–4_4.</w:t>
      </w:r>
    </w:p>
    <w:p w14:paraId="45553108">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val="en-US" w:eastAsia="ru-RU"/>
        </w:rPr>
        <w:t xml:space="preserve">Premkumar S., Ramanan P.V. Weekly Iron and Folic Acid Therapy in the Treatment of Anemia in Adolescents // JEMDS. – 2019. – </w:t>
      </w:r>
      <w:r>
        <w:rPr>
          <w:rFonts w:ascii="Times New Roman" w:hAnsi="Times New Roman" w:eastAsia="Times New Roman" w:cs="Times New Roman"/>
          <w:sz w:val="28"/>
          <w:szCs w:val="28"/>
          <w:lang w:eastAsia="ru-RU"/>
        </w:rPr>
        <w:t>Т</w:t>
      </w:r>
      <w:r>
        <w:rPr>
          <w:rFonts w:ascii="Times New Roman" w:hAnsi="Times New Roman" w:eastAsia="Times New Roman" w:cs="Times New Roman"/>
          <w:sz w:val="28"/>
          <w:szCs w:val="28"/>
          <w:lang w:val="en-US" w:eastAsia="ru-RU"/>
        </w:rPr>
        <w:t xml:space="preserve">. 7, № 45. – </w:t>
      </w:r>
      <w:r>
        <w:rPr>
          <w:rFonts w:ascii="Times New Roman" w:hAnsi="Times New Roman" w:eastAsia="Times New Roman" w:cs="Times New Roman"/>
          <w:sz w:val="28"/>
          <w:szCs w:val="28"/>
          <w:lang w:eastAsia="ru-RU"/>
        </w:rPr>
        <w:t>Б</w:t>
      </w:r>
      <w:r>
        <w:rPr>
          <w:rFonts w:ascii="Times New Roman" w:hAnsi="Times New Roman" w:eastAsia="Times New Roman" w:cs="Times New Roman"/>
          <w:sz w:val="28"/>
          <w:szCs w:val="28"/>
          <w:lang w:val="en-US" w:eastAsia="ru-RU"/>
        </w:rPr>
        <w:t xml:space="preserve">. 4884–4887. </w:t>
      </w:r>
      <w:r>
        <w:rPr>
          <w:rFonts w:ascii="Times New Roman" w:hAnsi="Times New Roman" w:eastAsia="Times New Roman" w:cs="Times New Roman"/>
          <w:sz w:val="28"/>
          <w:szCs w:val="28"/>
          <w:lang w:eastAsia="ru-RU"/>
        </w:rPr>
        <w:t>DOI: 10.5958/0976–5506.2019.02788.8.</w:t>
      </w:r>
    </w:p>
    <w:p w14:paraId="7046DF4A">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WHO. The Global Prevalence of Anemia in 2011. – Женева: Всемирная организация здравоохранения, 2015. – Б. 1–48. URL: </w:t>
      </w:r>
      <w:r>
        <w:fldChar w:fldCharType="begin"/>
      </w:r>
      <w:r>
        <w:instrText xml:space="preserve"> HYPERLINK "http://apps.who.int/iris/bitstream/handle/10665/177094/9789241564960" </w:instrText>
      </w:r>
      <w:r>
        <w:fldChar w:fldCharType="separate"/>
      </w:r>
      <w:r>
        <w:rPr>
          <w:rFonts w:ascii="Times New Roman" w:hAnsi="Times New Roman" w:eastAsia="等线 Light" w:cs="Times New Roman"/>
          <w:color w:val="0000FF"/>
          <w:sz w:val="28"/>
          <w:szCs w:val="28"/>
          <w:u w:val="single"/>
          <w:lang w:eastAsia="ru-RU"/>
        </w:rPr>
        <w:t>http://apps.who.int/iris/bitstream/handle/10665/177094/9789241564960</w:t>
      </w:r>
      <w:r>
        <w:rPr>
          <w:rFonts w:ascii="Times New Roman" w:hAnsi="Times New Roman" w:eastAsia="等线 Light" w:cs="Times New Roman"/>
          <w:color w:val="0000FF"/>
          <w:sz w:val="28"/>
          <w:szCs w:val="28"/>
          <w:u w:val="single"/>
          <w:lang w:eastAsia="ru-RU"/>
        </w:rPr>
        <w:fldChar w:fldCharType="end"/>
      </w:r>
      <w:r>
        <w:rPr>
          <w:rFonts w:ascii="Times New Roman" w:hAnsi="Times New Roman" w:eastAsia="Times New Roman" w:cs="Times New Roman"/>
          <w:sz w:val="28"/>
          <w:szCs w:val="28"/>
          <w:lang w:eastAsia="ru-RU"/>
        </w:rPr>
        <w:t xml:space="preserve"> (қолданылған күні: 30.05.2024).</w:t>
      </w:r>
    </w:p>
    <w:p w14:paraId="69F0FC7C">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val="en-US" w:eastAsia="ru-RU"/>
        </w:rPr>
        <w:t xml:space="preserve">Perez E.M., Hendricks M.K., Beard J.L., Murray–Kolb L.E., Berg A., Tomlinson M., Irlam J., Isaacs W., Njengele T., Sive A. Mother–infant interactions and infant development are altered by maternal iron deficiency anemia // J. Nutrition. – 2005. – </w:t>
      </w:r>
      <w:r>
        <w:rPr>
          <w:rFonts w:ascii="Times New Roman" w:hAnsi="Times New Roman" w:eastAsia="Times New Roman" w:cs="Times New Roman"/>
          <w:sz w:val="28"/>
          <w:szCs w:val="28"/>
          <w:lang w:eastAsia="ru-RU"/>
        </w:rPr>
        <w:t>Т</w:t>
      </w:r>
      <w:r>
        <w:rPr>
          <w:rFonts w:ascii="Times New Roman" w:hAnsi="Times New Roman" w:eastAsia="Times New Roman" w:cs="Times New Roman"/>
          <w:sz w:val="28"/>
          <w:szCs w:val="28"/>
          <w:lang w:val="en-US" w:eastAsia="ru-RU"/>
        </w:rPr>
        <w:t xml:space="preserve">. 135, № 4. – </w:t>
      </w:r>
      <w:r>
        <w:rPr>
          <w:rFonts w:ascii="Times New Roman" w:hAnsi="Times New Roman" w:eastAsia="Times New Roman" w:cs="Times New Roman"/>
          <w:sz w:val="28"/>
          <w:szCs w:val="28"/>
          <w:lang w:eastAsia="ru-RU"/>
        </w:rPr>
        <w:t>Б</w:t>
      </w:r>
      <w:r>
        <w:rPr>
          <w:rFonts w:ascii="Times New Roman" w:hAnsi="Times New Roman" w:eastAsia="Times New Roman" w:cs="Times New Roman"/>
          <w:sz w:val="28"/>
          <w:szCs w:val="28"/>
          <w:lang w:val="en-US" w:eastAsia="ru-RU"/>
        </w:rPr>
        <w:t xml:space="preserve">. 850–855. </w:t>
      </w:r>
      <w:r>
        <w:rPr>
          <w:rFonts w:ascii="Times New Roman" w:hAnsi="Times New Roman" w:eastAsia="Times New Roman" w:cs="Times New Roman"/>
          <w:sz w:val="28"/>
          <w:szCs w:val="28"/>
          <w:lang w:eastAsia="ru-RU"/>
        </w:rPr>
        <w:t>DOI: 10.1093/jn/135.4.850.</w:t>
      </w:r>
    </w:p>
    <w:p w14:paraId="5D1322BF">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val="en-US" w:eastAsia="ru-RU"/>
        </w:rPr>
        <w:t xml:space="preserve">Siu A.L. Screening for iron deficiency anemia and iron supplementation in pregnant women to improve maternal health and birth outcomes: U.S. Preventive Services Task Force recommendation statement // Ann. </w:t>
      </w:r>
      <w:r>
        <w:rPr>
          <w:rFonts w:ascii="Times New Roman" w:hAnsi="Times New Roman" w:eastAsia="Times New Roman" w:cs="Times New Roman"/>
          <w:sz w:val="28"/>
          <w:szCs w:val="28"/>
          <w:lang w:eastAsia="ru-RU"/>
        </w:rPr>
        <w:t>Intern. Med. – 2015. – Т. 163, № 7. – Б. 529–536. DOI: 10.7326/M15–1707.</w:t>
      </w:r>
    </w:p>
    <w:p w14:paraId="4228E356">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val="en-US" w:eastAsia="ru-RU"/>
        </w:rPr>
        <w:t xml:space="preserve">American College of Obstetrics &amp; Gynecology. Anemia in pregnancy. ACOG Practice Bulletin, No. 233 // Obstet. </w:t>
      </w:r>
      <w:r>
        <w:rPr>
          <w:rFonts w:ascii="Times New Roman" w:hAnsi="Times New Roman" w:eastAsia="Times New Roman" w:cs="Times New Roman"/>
          <w:sz w:val="28"/>
          <w:szCs w:val="28"/>
          <w:lang w:eastAsia="ru-RU"/>
        </w:rPr>
        <w:t>Gynecol. – 2021. – Т. 138, № 2. – Б. 55–64. DOI: 10.1097/AOG.0000000000004477.</w:t>
      </w:r>
    </w:p>
    <w:p w14:paraId="35A62DF0">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val="en-US" w:eastAsia="ru-RU"/>
        </w:rPr>
        <w:t xml:space="preserve">Pavord S., Daru J., Prasannan N., Robinson S., Stanworth S., Girling J. UK guidelines on the management of iron deficiency in pregnancy // Brit. J. Haematol. – 2020. – </w:t>
      </w:r>
      <w:r>
        <w:rPr>
          <w:rFonts w:ascii="Times New Roman" w:hAnsi="Times New Roman" w:eastAsia="Times New Roman" w:cs="Times New Roman"/>
          <w:sz w:val="28"/>
          <w:szCs w:val="28"/>
          <w:lang w:eastAsia="ru-RU"/>
        </w:rPr>
        <w:t>Т</w:t>
      </w:r>
      <w:r>
        <w:rPr>
          <w:rFonts w:ascii="Times New Roman" w:hAnsi="Times New Roman" w:eastAsia="Times New Roman" w:cs="Times New Roman"/>
          <w:sz w:val="28"/>
          <w:szCs w:val="28"/>
          <w:lang w:val="en-US" w:eastAsia="ru-RU"/>
        </w:rPr>
        <w:t xml:space="preserve">. 188, № 6. – </w:t>
      </w:r>
      <w:r>
        <w:rPr>
          <w:rFonts w:ascii="Times New Roman" w:hAnsi="Times New Roman" w:eastAsia="Times New Roman" w:cs="Times New Roman"/>
          <w:sz w:val="28"/>
          <w:szCs w:val="28"/>
          <w:lang w:eastAsia="ru-RU"/>
        </w:rPr>
        <w:t>Б</w:t>
      </w:r>
      <w:r>
        <w:rPr>
          <w:rFonts w:ascii="Times New Roman" w:hAnsi="Times New Roman" w:eastAsia="Times New Roman" w:cs="Times New Roman"/>
          <w:sz w:val="28"/>
          <w:szCs w:val="28"/>
          <w:lang w:val="en-US" w:eastAsia="ru-RU"/>
        </w:rPr>
        <w:t xml:space="preserve">. 819–830. </w:t>
      </w:r>
      <w:r>
        <w:rPr>
          <w:rFonts w:ascii="Times New Roman" w:hAnsi="Times New Roman" w:eastAsia="Times New Roman" w:cs="Times New Roman"/>
          <w:sz w:val="28"/>
          <w:szCs w:val="28"/>
          <w:lang w:eastAsia="ru-RU"/>
        </w:rPr>
        <w:t>DOI: 10.1111/bjh.16221.</w:t>
      </w:r>
    </w:p>
    <w:p w14:paraId="433D25E8">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val="en-US" w:eastAsia="ru-RU"/>
        </w:rPr>
        <w:t xml:space="preserve">Wenzel B., Stults H., Mayer J. Hypoferraemia in obese adolescents // Lancet. – 1962. – </w:t>
      </w:r>
      <w:r>
        <w:rPr>
          <w:rFonts w:ascii="Times New Roman" w:hAnsi="Times New Roman" w:eastAsia="Times New Roman" w:cs="Times New Roman"/>
          <w:sz w:val="28"/>
          <w:szCs w:val="28"/>
          <w:lang w:eastAsia="ru-RU"/>
        </w:rPr>
        <w:t>Б</w:t>
      </w:r>
      <w:r>
        <w:rPr>
          <w:rFonts w:ascii="Times New Roman" w:hAnsi="Times New Roman" w:eastAsia="Times New Roman" w:cs="Times New Roman"/>
          <w:sz w:val="28"/>
          <w:szCs w:val="28"/>
          <w:lang w:val="en-US" w:eastAsia="ru-RU"/>
        </w:rPr>
        <w:t xml:space="preserve">. 327–328. </w:t>
      </w:r>
      <w:r>
        <w:rPr>
          <w:rFonts w:ascii="Times New Roman" w:hAnsi="Times New Roman" w:eastAsia="Times New Roman" w:cs="Times New Roman"/>
          <w:sz w:val="28"/>
          <w:szCs w:val="28"/>
          <w:lang w:eastAsia="ru-RU"/>
        </w:rPr>
        <w:t>DOI: 10.1016/s0140–6736(62)90110–1.</w:t>
      </w:r>
    </w:p>
    <w:p w14:paraId="1BE40755">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val="en-US" w:eastAsia="ru-RU"/>
        </w:rPr>
        <w:t xml:space="preserve">Pinhas–Hamiel O., Newfield R.S., Koren I., Agmon A., Lilos P. Greater prevalence of iron deficiency in overweight and obese children and adolescents // Int. J. Obes. </w:t>
      </w:r>
      <w:r>
        <w:rPr>
          <w:rFonts w:ascii="Times New Roman" w:hAnsi="Times New Roman" w:eastAsia="Times New Roman" w:cs="Times New Roman"/>
          <w:sz w:val="28"/>
          <w:szCs w:val="28"/>
          <w:lang w:eastAsia="ru-RU"/>
        </w:rPr>
        <w:t>Relat. Metab. Disord. – 2003. – Т. 27. – Б. 416–418. DOI: 10.1038/sj.ijo.0802224.</w:t>
      </w:r>
    </w:p>
    <w:p w14:paraId="15F9F763">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val="en-US" w:eastAsia="ru-RU"/>
        </w:rPr>
        <w:t xml:space="preserve">Lecube A., Carrera A., Losada E., Hernández C., Simó R., Mesa J. Iron deficiency in obese postmenopausal women // Obesity. – 2006. – </w:t>
      </w:r>
      <w:r>
        <w:rPr>
          <w:rFonts w:ascii="Times New Roman" w:hAnsi="Times New Roman" w:eastAsia="Times New Roman" w:cs="Times New Roman"/>
          <w:sz w:val="28"/>
          <w:szCs w:val="28"/>
          <w:lang w:eastAsia="ru-RU"/>
        </w:rPr>
        <w:t>Т</w:t>
      </w:r>
      <w:r>
        <w:rPr>
          <w:rFonts w:ascii="Times New Roman" w:hAnsi="Times New Roman" w:eastAsia="Times New Roman" w:cs="Times New Roman"/>
          <w:sz w:val="28"/>
          <w:szCs w:val="28"/>
          <w:lang w:val="en-US" w:eastAsia="ru-RU"/>
        </w:rPr>
        <w:t xml:space="preserve">. 14. – </w:t>
      </w:r>
      <w:r>
        <w:rPr>
          <w:rFonts w:ascii="Times New Roman" w:hAnsi="Times New Roman" w:eastAsia="Times New Roman" w:cs="Times New Roman"/>
          <w:sz w:val="28"/>
          <w:szCs w:val="28"/>
          <w:lang w:eastAsia="ru-RU"/>
        </w:rPr>
        <w:t>Б</w:t>
      </w:r>
      <w:r>
        <w:rPr>
          <w:rFonts w:ascii="Times New Roman" w:hAnsi="Times New Roman" w:eastAsia="Times New Roman" w:cs="Times New Roman"/>
          <w:sz w:val="28"/>
          <w:szCs w:val="28"/>
          <w:lang w:val="en-US" w:eastAsia="ru-RU"/>
        </w:rPr>
        <w:t xml:space="preserve">. 1724–1730. </w:t>
      </w:r>
      <w:r>
        <w:rPr>
          <w:rFonts w:ascii="Times New Roman" w:hAnsi="Times New Roman" w:eastAsia="Times New Roman" w:cs="Times New Roman"/>
          <w:sz w:val="28"/>
          <w:szCs w:val="28"/>
          <w:lang w:eastAsia="ru-RU"/>
        </w:rPr>
        <w:t>DOI: 10.1038/oby.2006.198.</w:t>
      </w:r>
    </w:p>
    <w:p w14:paraId="31944A96">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val="en-US" w:eastAsia="ru-RU"/>
        </w:rPr>
        <w:t>Yanoff L.B., Menzie C.M., Denkinger B., Sebring N.G., McHugh T., Remaley A.T. and Yanovski J.A. Inflammation and iron deficiency in the hypoferremia of obesity // Int J Obes.–2007.–</w:t>
      </w:r>
      <w:r>
        <w:rPr>
          <w:rFonts w:ascii="Times New Roman" w:hAnsi="Times New Roman" w:eastAsia="Times New Roman" w:cs="Times New Roman"/>
          <w:sz w:val="28"/>
          <w:szCs w:val="28"/>
          <w:lang w:eastAsia="ru-RU"/>
        </w:rPr>
        <w:t>Т</w:t>
      </w:r>
      <w:r>
        <w:rPr>
          <w:rFonts w:ascii="Times New Roman" w:hAnsi="Times New Roman" w:eastAsia="Times New Roman" w:cs="Times New Roman"/>
          <w:sz w:val="28"/>
          <w:szCs w:val="28"/>
          <w:lang w:val="en-US" w:eastAsia="ru-RU"/>
        </w:rPr>
        <w:t xml:space="preserve">.31. – </w:t>
      </w:r>
      <w:r>
        <w:rPr>
          <w:rFonts w:ascii="Times New Roman" w:hAnsi="Times New Roman" w:eastAsia="Times New Roman" w:cs="Times New Roman"/>
          <w:sz w:val="28"/>
          <w:szCs w:val="28"/>
          <w:lang w:eastAsia="ru-RU"/>
        </w:rPr>
        <w:t>Б</w:t>
      </w:r>
      <w:r>
        <w:rPr>
          <w:rFonts w:ascii="Times New Roman" w:hAnsi="Times New Roman" w:eastAsia="Times New Roman" w:cs="Times New Roman"/>
          <w:sz w:val="28"/>
          <w:szCs w:val="28"/>
          <w:lang w:val="en-US" w:eastAsia="ru-RU"/>
        </w:rPr>
        <w:t xml:space="preserve">.1412–1419. </w:t>
      </w:r>
      <w:r>
        <w:rPr>
          <w:rFonts w:ascii="Times New Roman" w:hAnsi="Times New Roman" w:eastAsia="Times New Roman" w:cs="Times New Roman"/>
          <w:sz w:val="28"/>
          <w:szCs w:val="28"/>
          <w:lang w:eastAsia="ru-RU"/>
        </w:rPr>
        <w:t>DOI: 10.1038/sj.ijo.0803625</w:t>
      </w:r>
    </w:p>
    <w:p w14:paraId="20FE2A1F">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val="en-US" w:eastAsia="ru-RU"/>
        </w:rPr>
        <w:t>Aderibigbe O.R., Pisa P.T., Vorster H.H. and Kruger S.H. The relationship between iron status and adiposity in women from developing countries: A review // Crit Rev Food Sci Nutr. –2014. –</w:t>
      </w:r>
      <w:r>
        <w:rPr>
          <w:rFonts w:ascii="Times New Roman" w:hAnsi="Times New Roman" w:eastAsia="Times New Roman" w:cs="Times New Roman"/>
          <w:sz w:val="28"/>
          <w:szCs w:val="28"/>
          <w:lang w:eastAsia="ru-RU"/>
        </w:rPr>
        <w:t>Т</w:t>
      </w:r>
      <w:r>
        <w:rPr>
          <w:rFonts w:ascii="Times New Roman" w:hAnsi="Times New Roman" w:eastAsia="Times New Roman" w:cs="Times New Roman"/>
          <w:sz w:val="28"/>
          <w:szCs w:val="28"/>
          <w:lang w:val="en-US" w:eastAsia="ru-RU"/>
        </w:rPr>
        <w:t xml:space="preserve">.54. – </w:t>
      </w:r>
      <w:r>
        <w:rPr>
          <w:rFonts w:ascii="Times New Roman" w:hAnsi="Times New Roman" w:eastAsia="Times New Roman" w:cs="Times New Roman"/>
          <w:sz w:val="28"/>
          <w:szCs w:val="28"/>
          <w:lang w:eastAsia="ru-RU"/>
        </w:rPr>
        <w:t>Б</w:t>
      </w:r>
      <w:r>
        <w:rPr>
          <w:rFonts w:ascii="Times New Roman" w:hAnsi="Times New Roman" w:eastAsia="Times New Roman" w:cs="Times New Roman"/>
          <w:sz w:val="28"/>
          <w:szCs w:val="28"/>
          <w:lang w:val="en-US" w:eastAsia="ru-RU"/>
        </w:rPr>
        <w:t xml:space="preserve">.553–560. </w:t>
      </w:r>
      <w:r>
        <w:rPr>
          <w:rFonts w:ascii="Times New Roman" w:hAnsi="Times New Roman" w:eastAsia="Times New Roman" w:cs="Times New Roman"/>
          <w:sz w:val="28"/>
          <w:szCs w:val="28"/>
          <w:lang w:eastAsia="ru-RU"/>
        </w:rPr>
        <w:t>DOI: 10.1080/10408398.2011.594914</w:t>
      </w:r>
    </w:p>
    <w:p w14:paraId="51A2A1A1">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val="en-US" w:eastAsia="ru-RU"/>
        </w:rPr>
        <w:t>Cheng H.L., Bryant C., Cook R., O'Connor H., Rooney K. and Steinbeck K. The relationship between obesity and hypoferraemia in adults: A systematic review // Obes Rev.– 2012. –</w:t>
      </w:r>
      <w:r>
        <w:rPr>
          <w:rFonts w:ascii="Times New Roman" w:hAnsi="Times New Roman" w:eastAsia="Times New Roman" w:cs="Times New Roman"/>
          <w:sz w:val="28"/>
          <w:szCs w:val="28"/>
          <w:lang w:eastAsia="ru-RU"/>
        </w:rPr>
        <w:t>Т</w:t>
      </w:r>
      <w:r>
        <w:rPr>
          <w:rFonts w:ascii="Times New Roman" w:hAnsi="Times New Roman" w:eastAsia="Times New Roman" w:cs="Times New Roman"/>
          <w:sz w:val="28"/>
          <w:szCs w:val="28"/>
          <w:lang w:val="en-US" w:eastAsia="ru-RU"/>
        </w:rPr>
        <w:t>.13. –</w:t>
      </w:r>
      <w:r>
        <w:rPr>
          <w:rFonts w:ascii="Times New Roman" w:hAnsi="Times New Roman" w:eastAsia="Times New Roman" w:cs="Times New Roman"/>
          <w:sz w:val="28"/>
          <w:szCs w:val="28"/>
          <w:lang w:eastAsia="ru-RU"/>
        </w:rPr>
        <w:t>Б</w:t>
      </w:r>
      <w:r>
        <w:rPr>
          <w:rFonts w:ascii="Times New Roman" w:hAnsi="Times New Roman" w:eastAsia="Times New Roman" w:cs="Times New Roman"/>
          <w:sz w:val="28"/>
          <w:szCs w:val="28"/>
          <w:lang w:val="en-US" w:eastAsia="ru-RU"/>
        </w:rPr>
        <w:t xml:space="preserve">.150–161. </w:t>
      </w:r>
      <w:r>
        <w:rPr>
          <w:rFonts w:ascii="Times New Roman" w:hAnsi="Times New Roman" w:eastAsia="Times New Roman" w:cs="Times New Roman"/>
          <w:sz w:val="28"/>
          <w:szCs w:val="28"/>
          <w:lang w:eastAsia="ru-RU"/>
        </w:rPr>
        <w:t>DOI: 10.1111/j.1467–789X.2011.00938.x</w:t>
      </w:r>
    </w:p>
    <w:p w14:paraId="671F8A6F">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val="en-US" w:eastAsia="ru-RU"/>
        </w:rPr>
        <w:t>Zimmermann M.B., Zeder C., Muthayya S., Winichagoon P., Chaouki N., Aeberli I. and Hurrell R.F.: Adiposity in women and children from transition countries predicts decreased iron absorption, iron deficiency and a reduced response to iron fortification // Int J Obes. –2008. –</w:t>
      </w:r>
      <w:r>
        <w:rPr>
          <w:rFonts w:ascii="Times New Roman" w:hAnsi="Times New Roman" w:eastAsia="Times New Roman" w:cs="Times New Roman"/>
          <w:sz w:val="28"/>
          <w:szCs w:val="28"/>
          <w:lang w:eastAsia="ru-RU"/>
        </w:rPr>
        <w:t>Т</w:t>
      </w:r>
      <w:r>
        <w:rPr>
          <w:rFonts w:ascii="Times New Roman" w:hAnsi="Times New Roman" w:eastAsia="Times New Roman" w:cs="Times New Roman"/>
          <w:sz w:val="28"/>
          <w:szCs w:val="28"/>
          <w:lang w:val="en-US" w:eastAsia="ru-RU"/>
        </w:rPr>
        <w:t>.32. –</w:t>
      </w:r>
      <w:r>
        <w:rPr>
          <w:rFonts w:ascii="Times New Roman" w:hAnsi="Times New Roman" w:eastAsia="Times New Roman" w:cs="Times New Roman"/>
          <w:sz w:val="28"/>
          <w:szCs w:val="28"/>
          <w:lang w:eastAsia="ru-RU"/>
        </w:rPr>
        <w:t>Б</w:t>
      </w:r>
      <w:r>
        <w:rPr>
          <w:rFonts w:ascii="Times New Roman" w:hAnsi="Times New Roman" w:eastAsia="Times New Roman" w:cs="Times New Roman"/>
          <w:sz w:val="28"/>
          <w:szCs w:val="28"/>
          <w:lang w:val="en-US" w:eastAsia="ru-RU"/>
        </w:rPr>
        <w:t xml:space="preserve">.1098–1104. </w:t>
      </w:r>
      <w:r>
        <w:rPr>
          <w:rFonts w:ascii="Times New Roman" w:hAnsi="Times New Roman" w:eastAsia="Times New Roman" w:cs="Times New Roman"/>
          <w:sz w:val="28"/>
          <w:szCs w:val="28"/>
          <w:lang w:eastAsia="ru-RU"/>
        </w:rPr>
        <w:t>DOI: 10.1038/ijo.2008.43</w:t>
      </w:r>
    </w:p>
    <w:p w14:paraId="400EA236">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drawing>
          <wp:inline distT="0" distB="0" distL="0" distR="0">
            <wp:extent cx="13970" cy="13970"/>
            <wp:effectExtent l="0" t="0" r="0" b="0"/>
            <wp:docPr id="119" name="Рисунок 119" descr="C:\Users\kgmuuser\AppData\Local\Temp\ksohtml7396\wps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Рисунок 119" descr="C:\Users\kgmuuser\AppData\Local\Temp\ksohtml7396\wps35.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13970" cy="13970"/>
                    </a:xfrm>
                    <a:prstGeom prst="rect">
                      <a:avLst/>
                    </a:prstGeom>
                    <a:noFill/>
                    <a:ln>
                      <a:noFill/>
                    </a:ln>
                  </pic:spPr>
                </pic:pic>
              </a:graphicData>
            </a:graphic>
          </wp:inline>
        </w:drawing>
      </w:r>
      <w:r>
        <w:rPr>
          <w:rFonts w:ascii="Times New Roman" w:hAnsi="Times New Roman" w:eastAsia="Times New Roman" w:cs="Times New Roman"/>
          <w:sz w:val="28"/>
          <w:szCs w:val="28"/>
          <w:lang w:val="en-US" w:eastAsia="ru-RU"/>
        </w:rPr>
        <w:t xml:space="preserve">Tussing–Humphreys L.M., Nemeth E., Fantuzzi G., Freels S., Guzman G., Holterman A.X. and Braunschweig C.: Elevated systemic hepcidin and iron depletion in obese premenopausal females // Obesity.–2010.–V.18.–P.1449–1456. </w:t>
      </w:r>
      <w:r>
        <w:rPr>
          <w:rFonts w:ascii="Times New Roman" w:hAnsi="Times New Roman" w:eastAsia="Times New Roman" w:cs="Times New Roman"/>
          <w:sz w:val="28"/>
          <w:szCs w:val="28"/>
          <w:lang w:eastAsia="ru-RU"/>
        </w:rPr>
        <w:t>DOI: 10.1038/oby.2009.319</w:t>
      </w:r>
    </w:p>
    <w:p w14:paraId="0C71BBF3">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val="en-US" w:eastAsia="ru-RU"/>
        </w:rPr>
        <w:t xml:space="preserve"> Garcia–Valdes L., Campoy C., Hayes H., Florido J., Rusanova I., Miranda M.T., McArdle H.J. The impact of maternal obesity on iron status, placental transferrin receptor expression and hepcidin expression in human pregnancy // Int J Obes. –2015. –</w:t>
      </w:r>
      <w:r>
        <w:rPr>
          <w:rFonts w:ascii="Times New Roman" w:hAnsi="Times New Roman" w:eastAsia="Times New Roman" w:cs="Times New Roman"/>
          <w:sz w:val="28"/>
          <w:szCs w:val="28"/>
          <w:lang w:eastAsia="ru-RU"/>
        </w:rPr>
        <w:t>Т</w:t>
      </w:r>
      <w:r>
        <w:rPr>
          <w:rFonts w:ascii="Times New Roman" w:hAnsi="Times New Roman" w:eastAsia="Times New Roman" w:cs="Times New Roman"/>
          <w:sz w:val="28"/>
          <w:szCs w:val="28"/>
          <w:lang w:val="en-US" w:eastAsia="ru-RU"/>
        </w:rPr>
        <w:t>.39.№4. –</w:t>
      </w:r>
      <w:r>
        <w:rPr>
          <w:rFonts w:ascii="Times New Roman" w:hAnsi="Times New Roman" w:eastAsia="Times New Roman" w:cs="Times New Roman"/>
          <w:sz w:val="28"/>
          <w:szCs w:val="28"/>
          <w:lang w:eastAsia="ru-RU"/>
        </w:rPr>
        <w:t>С</w:t>
      </w:r>
      <w:r>
        <w:rPr>
          <w:rFonts w:ascii="Times New Roman" w:hAnsi="Times New Roman" w:eastAsia="Times New Roman" w:cs="Times New Roman"/>
          <w:sz w:val="28"/>
          <w:szCs w:val="28"/>
          <w:lang w:val="en-US" w:eastAsia="ru-RU"/>
        </w:rPr>
        <w:t xml:space="preserve">. 571–578. </w:t>
      </w:r>
      <w:r>
        <w:rPr>
          <w:rFonts w:ascii="Times New Roman" w:hAnsi="Times New Roman" w:eastAsia="Times New Roman" w:cs="Times New Roman"/>
          <w:sz w:val="28"/>
          <w:szCs w:val="28"/>
          <w:lang w:eastAsia="ru-RU"/>
        </w:rPr>
        <w:t>DOI: 10.1038/ijo.2015.3</w:t>
      </w:r>
    </w:p>
    <w:p w14:paraId="024413F3">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val="en-US" w:eastAsia="ru-RU"/>
        </w:rPr>
        <w:t xml:space="preserve"> Flores–Quijano M.E., Montalvo–Velarde .I, Vital–Reyes V.S., Rodríguez Cruz M., Rendón–Macías M.E., López–Alarcón M. Longitudinal analysis of the interaction between obesity and pregnancy on iron homeostasis: role of hepcidin // Arch Med Res. –2016. –</w:t>
      </w:r>
      <w:r>
        <w:rPr>
          <w:rFonts w:ascii="Times New Roman" w:hAnsi="Times New Roman" w:eastAsia="Times New Roman" w:cs="Times New Roman"/>
          <w:sz w:val="28"/>
          <w:szCs w:val="28"/>
          <w:lang w:eastAsia="ru-RU"/>
        </w:rPr>
        <w:t>Т</w:t>
      </w:r>
      <w:r>
        <w:rPr>
          <w:rFonts w:ascii="Times New Roman" w:hAnsi="Times New Roman" w:eastAsia="Times New Roman" w:cs="Times New Roman"/>
          <w:sz w:val="28"/>
          <w:szCs w:val="28"/>
          <w:lang w:val="en-US" w:eastAsia="ru-RU"/>
        </w:rPr>
        <w:t>.47.–№7. –</w:t>
      </w:r>
      <w:r>
        <w:rPr>
          <w:rFonts w:ascii="Times New Roman" w:hAnsi="Times New Roman" w:eastAsia="Times New Roman" w:cs="Times New Roman"/>
          <w:sz w:val="28"/>
          <w:szCs w:val="28"/>
          <w:lang w:eastAsia="ru-RU"/>
        </w:rPr>
        <w:t>Б</w:t>
      </w:r>
      <w:r>
        <w:rPr>
          <w:rFonts w:ascii="Times New Roman" w:hAnsi="Times New Roman" w:eastAsia="Times New Roman" w:cs="Times New Roman"/>
          <w:sz w:val="28"/>
          <w:szCs w:val="28"/>
          <w:lang w:val="en-US" w:eastAsia="ru-RU"/>
        </w:rPr>
        <w:t xml:space="preserve">.550–556. </w:t>
      </w:r>
      <w:r>
        <w:rPr>
          <w:rFonts w:ascii="Times New Roman" w:hAnsi="Times New Roman" w:eastAsia="Times New Roman" w:cs="Times New Roman"/>
          <w:sz w:val="28"/>
          <w:szCs w:val="28"/>
          <w:lang w:eastAsia="ru-RU"/>
        </w:rPr>
        <w:t>DOI: 10.1016/j.arcmed.2016.11.011</w:t>
      </w:r>
    </w:p>
    <w:p w14:paraId="08BE0D60">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val="en-US" w:eastAsia="ru-RU"/>
        </w:rPr>
        <w:t xml:space="preserve"> Flynn A.C., Begum S., White S.L., Dalrymple K., Gill C., Alwan N.A., Kiely M., Latunde–Dada G., Bell R., Briley A.L., et al. Relationships between maternal obesity and maternal and neonatal iron status // Nutrients. –2018. –</w:t>
      </w:r>
      <w:r>
        <w:rPr>
          <w:rFonts w:ascii="Times New Roman" w:hAnsi="Times New Roman" w:eastAsia="Times New Roman" w:cs="Times New Roman"/>
          <w:sz w:val="28"/>
          <w:szCs w:val="28"/>
          <w:lang w:eastAsia="ru-RU"/>
        </w:rPr>
        <w:t>Т</w:t>
      </w:r>
      <w:r>
        <w:rPr>
          <w:rFonts w:ascii="Times New Roman" w:hAnsi="Times New Roman" w:eastAsia="Times New Roman" w:cs="Times New Roman"/>
          <w:sz w:val="28"/>
          <w:szCs w:val="28"/>
          <w:lang w:val="en-US" w:eastAsia="ru-RU"/>
        </w:rPr>
        <w:t>.10.№8. –</w:t>
      </w:r>
      <w:r>
        <w:rPr>
          <w:rFonts w:ascii="Times New Roman" w:hAnsi="Times New Roman" w:eastAsia="Times New Roman" w:cs="Times New Roman"/>
          <w:sz w:val="28"/>
          <w:szCs w:val="28"/>
          <w:lang w:eastAsia="ru-RU"/>
        </w:rPr>
        <w:t>Б</w:t>
      </w:r>
      <w:r>
        <w:rPr>
          <w:rFonts w:ascii="Times New Roman" w:hAnsi="Times New Roman" w:eastAsia="Times New Roman" w:cs="Times New Roman"/>
          <w:sz w:val="28"/>
          <w:szCs w:val="28"/>
          <w:lang w:val="en-US" w:eastAsia="ru-RU"/>
        </w:rPr>
        <w:t xml:space="preserve">.1000. </w:t>
      </w:r>
      <w:r>
        <w:rPr>
          <w:rFonts w:ascii="Times New Roman" w:hAnsi="Times New Roman" w:eastAsia="Times New Roman" w:cs="Times New Roman"/>
          <w:sz w:val="28"/>
          <w:szCs w:val="28"/>
          <w:lang w:eastAsia="ru-RU"/>
        </w:rPr>
        <w:t>DOI: 10.3390/nu10081000</w:t>
      </w:r>
    </w:p>
    <w:p w14:paraId="7E13C2E9">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val="en-US" w:eastAsia="ru-RU"/>
        </w:rPr>
        <w:t xml:space="preserve"> Flores–Quijano M.E., Vega–Sánchez R., Tolentino–Dolores M.C., López Alarcón M.G., Flores–Urrutia M.C., López–Olvera A.D., Talavera J.O. Obesity is associated with changes in iron nutrition status and its homeostatic regulation in pregnancy // Nutrients.–2019. –</w:t>
      </w:r>
      <w:r>
        <w:rPr>
          <w:rFonts w:ascii="Times New Roman" w:hAnsi="Times New Roman" w:eastAsia="Times New Roman" w:cs="Times New Roman"/>
          <w:sz w:val="28"/>
          <w:szCs w:val="28"/>
          <w:lang w:eastAsia="ru-RU"/>
        </w:rPr>
        <w:t>Т</w:t>
      </w:r>
      <w:r>
        <w:rPr>
          <w:rFonts w:ascii="Times New Roman" w:hAnsi="Times New Roman" w:eastAsia="Times New Roman" w:cs="Times New Roman"/>
          <w:sz w:val="28"/>
          <w:szCs w:val="28"/>
          <w:lang w:val="en-US" w:eastAsia="ru-RU"/>
        </w:rPr>
        <w:t>.11.№3. –</w:t>
      </w:r>
      <w:r>
        <w:rPr>
          <w:rFonts w:ascii="Times New Roman" w:hAnsi="Times New Roman" w:eastAsia="Times New Roman" w:cs="Times New Roman"/>
          <w:sz w:val="28"/>
          <w:szCs w:val="28"/>
          <w:lang w:eastAsia="ru-RU"/>
        </w:rPr>
        <w:t>Б</w:t>
      </w:r>
      <w:r>
        <w:rPr>
          <w:rFonts w:ascii="Times New Roman" w:hAnsi="Times New Roman" w:eastAsia="Times New Roman" w:cs="Times New Roman"/>
          <w:sz w:val="28"/>
          <w:szCs w:val="28"/>
          <w:lang w:val="en-US" w:eastAsia="ru-RU"/>
        </w:rPr>
        <w:t xml:space="preserve">.693. </w:t>
      </w:r>
      <w:r>
        <w:rPr>
          <w:rFonts w:ascii="Times New Roman" w:hAnsi="Times New Roman" w:eastAsia="Times New Roman" w:cs="Times New Roman"/>
          <w:sz w:val="28"/>
          <w:szCs w:val="28"/>
          <w:lang w:eastAsia="ru-RU"/>
        </w:rPr>
        <w:t>DOI: 10.3390/nu11030693</w:t>
      </w:r>
    </w:p>
    <w:p w14:paraId="57296DD4">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val="en-US" w:eastAsia="ru-RU"/>
        </w:rPr>
        <w:t xml:space="preserve"> Menzie C.M., Yanoff L.B., Denkinger B.I., McHugh T., Sebring N.G., Calis K.A., Yanovski J.A. Obesity–related hypoferremia is not explained by differences in reported intake of heme and nonheme iron or intake of dietary factors that can affect iron absorption // J Am Diet Assoc. –2008. –</w:t>
      </w:r>
      <w:r>
        <w:rPr>
          <w:rFonts w:ascii="Times New Roman" w:hAnsi="Times New Roman" w:eastAsia="Times New Roman" w:cs="Times New Roman"/>
          <w:sz w:val="28"/>
          <w:szCs w:val="28"/>
          <w:lang w:eastAsia="ru-RU"/>
        </w:rPr>
        <w:t>Т</w:t>
      </w:r>
      <w:r>
        <w:rPr>
          <w:rFonts w:ascii="Times New Roman" w:hAnsi="Times New Roman" w:eastAsia="Times New Roman" w:cs="Times New Roman"/>
          <w:sz w:val="28"/>
          <w:szCs w:val="28"/>
          <w:lang w:val="en-US" w:eastAsia="ru-RU"/>
        </w:rPr>
        <w:t>.108.№1. –</w:t>
      </w:r>
      <w:r>
        <w:rPr>
          <w:rFonts w:ascii="Times New Roman" w:hAnsi="Times New Roman" w:eastAsia="Times New Roman" w:cs="Times New Roman"/>
          <w:sz w:val="28"/>
          <w:szCs w:val="28"/>
          <w:lang w:eastAsia="ru-RU"/>
        </w:rPr>
        <w:t>Б</w:t>
      </w:r>
      <w:r>
        <w:rPr>
          <w:rFonts w:ascii="Times New Roman" w:hAnsi="Times New Roman" w:eastAsia="Times New Roman" w:cs="Times New Roman"/>
          <w:sz w:val="28"/>
          <w:szCs w:val="28"/>
          <w:lang w:val="en-US" w:eastAsia="ru-RU"/>
        </w:rPr>
        <w:t xml:space="preserve">.145–148. </w:t>
      </w:r>
      <w:r>
        <w:rPr>
          <w:rFonts w:ascii="Times New Roman" w:hAnsi="Times New Roman" w:eastAsia="Times New Roman" w:cs="Times New Roman"/>
          <w:sz w:val="28"/>
          <w:szCs w:val="28"/>
          <w:lang w:eastAsia="ru-RU"/>
        </w:rPr>
        <w:t>DOI: 10.1016/j.jada.2007.10.034</w:t>
      </w:r>
    </w:p>
    <w:p w14:paraId="6B673F0C">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val="en-US" w:eastAsia="ru-RU"/>
        </w:rPr>
        <w:t xml:space="preserve"> Ganz T., Nemeth E. Hepcidin and iron homeostasis // Biochim Biophys Acta. –2012. –</w:t>
      </w:r>
      <w:r>
        <w:rPr>
          <w:rFonts w:ascii="Times New Roman" w:hAnsi="Times New Roman" w:eastAsia="Times New Roman" w:cs="Times New Roman"/>
          <w:sz w:val="28"/>
          <w:szCs w:val="28"/>
          <w:lang w:eastAsia="ru-RU"/>
        </w:rPr>
        <w:t>Т</w:t>
      </w:r>
      <w:r>
        <w:rPr>
          <w:rFonts w:ascii="Times New Roman" w:hAnsi="Times New Roman" w:eastAsia="Times New Roman" w:cs="Times New Roman"/>
          <w:sz w:val="28"/>
          <w:szCs w:val="28"/>
          <w:lang w:val="en-US" w:eastAsia="ru-RU"/>
        </w:rPr>
        <w:t>.1823.№9. –</w:t>
      </w:r>
      <w:r>
        <w:rPr>
          <w:rFonts w:ascii="Times New Roman" w:hAnsi="Times New Roman" w:eastAsia="Times New Roman" w:cs="Times New Roman"/>
          <w:sz w:val="28"/>
          <w:szCs w:val="28"/>
          <w:lang w:eastAsia="ru-RU"/>
        </w:rPr>
        <w:t>Б</w:t>
      </w:r>
      <w:r>
        <w:rPr>
          <w:rFonts w:ascii="Times New Roman" w:hAnsi="Times New Roman" w:eastAsia="Times New Roman" w:cs="Times New Roman"/>
          <w:sz w:val="28"/>
          <w:szCs w:val="28"/>
          <w:lang w:val="en-US" w:eastAsia="ru-RU"/>
        </w:rPr>
        <w:t xml:space="preserve">.1434–1443. </w:t>
      </w:r>
      <w:r>
        <w:rPr>
          <w:rFonts w:ascii="Times New Roman" w:hAnsi="Times New Roman" w:eastAsia="Times New Roman" w:cs="Times New Roman"/>
          <w:sz w:val="28"/>
          <w:szCs w:val="28"/>
          <w:lang w:eastAsia="ru-RU"/>
        </w:rPr>
        <w:t>DOI: 10.1146/annurev–med–043021–032816</w:t>
      </w:r>
    </w:p>
    <w:p w14:paraId="72EA91D0">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val="en-US" w:eastAsia="ru-RU"/>
        </w:rPr>
        <w:t xml:space="preserve"> Nemeth E., Rivera S., Gabayan V., Keller C., Taudorf S., Pedersen B.K., Ganz T. IL–6 mediates hypoferremia of inflammation by inducing the synthesis of the iron regulatory hormone hepcidin // J Clin Invest.–2004. –</w:t>
      </w:r>
      <w:r>
        <w:rPr>
          <w:rFonts w:ascii="Times New Roman" w:hAnsi="Times New Roman" w:eastAsia="Times New Roman" w:cs="Times New Roman"/>
          <w:sz w:val="28"/>
          <w:szCs w:val="28"/>
          <w:lang w:eastAsia="ru-RU"/>
        </w:rPr>
        <w:t>Т</w:t>
      </w:r>
      <w:r>
        <w:rPr>
          <w:rFonts w:ascii="Times New Roman" w:hAnsi="Times New Roman" w:eastAsia="Times New Roman" w:cs="Times New Roman"/>
          <w:sz w:val="28"/>
          <w:szCs w:val="28"/>
          <w:lang w:val="en-US" w:eastAsia="ru-RU"/>
        </w:rPr>
        <w:t>.113.№9. –</w:t>
      </w:r>
      <w:r>
        <w:rPr>
          <w:rFonts w:ascii="Times New Roman" w:hAnsi="Times New Roman" w:eastAsia="Times New Roman" w:cs="Times New Roman"/>
          <w:sz w:val="28"/>
          <w:szCs w:val="28"/>
          <w:lang w:eastAsia="ru-RU"/>
        </w:rPr>
        <w:t>Б</w:t>
      </w:r>
      <w:r>
        <w:rPr>
          <w:rFonts w:ascii="Times New Roman" w:hAnsi="Times New Roman" w:eastAsia="Times New Roman" w:cs="Times New Roman"/>
          <w:sz w:val="28"/>
          <w:szCs w:val="28"/>
          <w:lang w:val="en-US" w:eastAsia="ru-RU"/>
        </w:rPr>
        <w:t xml:space="preserve">.1271–1276. </w:t>
      </w:r>
      <w:r>
        <w:rPr>
          <w:rFonts w:ascii="Times New Roman" w:hAnsi="Times New Roman" w:eastAsia="Times New Roman" w:cs="Times New Roman"/>
          <w:sz w:val="28"/>
          <w:szCs w:val="28"/>
          <w:lang w:eastAsia="ru-RU"/>
        </w:rPr>
        <w:t>DOI: 10.1172/JCI20945</w:t>
      </w:r>
    </w:p>
    <w:p w14:paraId="2BE8CC7A">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val="en-US" w:eastAsia="ru-RU"/>
        </w:rPr>
        <w:t xml:space="preserve"> Ganz T., Nemeth E. Iron homeostasis in host defence and inflammation // Nat Rev Immunol.–2015.–</w:t>
      </w:r>
      <w:r>
        <w:rPr>
          <w:rFonts w:ascii="Times New Roman" w:hAnsi="Times New Roman" w:eastAsia="Times New Roman" w:cs="Times New Roman"/>
          <w:sz w:val="28"/>
          <w:szCs w:val="28"/>
          <w:lang w:eastAsia="ru-RU"/>
        </w:rPr>
        <w:t>Т</w:t>
      </w:r>
      <w:r>
        <w:rPr>
          <w:rFonts w:ascii="Times New Roman" w:hAnsi="Times New Roman" w:eastAsia="Times New Roman" w:cs="Times New Roman"/>
          <w:sz w:val="28"/>
          <w:szCs w:val="28"/>
          <w:lang w:val="en-US" w:eastAsia="ru-RU"/>
        </w:rPr>
        <w:t xml:space="preserve">.15.№8. </w:t>
      </w:r>
      <w:r>
        <w:rPr>
          <w:rFonts w:ascii="Times New Roman" w:hAnsi="Times New Roman" w:eastAsia="Times New Roman" w:cs="Times New Roman"/>
          <w:sz w:val="28"/>
          <w:szCs w:val="28"/>
          <w:lang w:eastAsia="ru-RU"/>
        </w:rPr>
        <w:t>Б.500–510. DOI: 10.1038/nri3863</w:t>
      </w:r>
    </w:p>
    <w:p w14:paraId="1CF93E29">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val="en-US" w:eastAsia="ru-RU"/>
        </w:rPr>
        <w:t xml:space="preserve"> Bah A., Pasricha S.R., Jallow M.W., Sise E.A., Wegmuller R., Armitage A.E., Drakesmith H., Moore S.E., Prentice A.M. Serum hepcidin concentrations decline during pregnancy and may identify iron deficiency: analysis of a longitudinal pregnancy cohort in The Gambia // J Nutr.–2017.–V.147.–№6.–</w:t>
      </w:r>
      <w:r>
        <w:rPr>
          <w:rFonts w:ascii="Times New Roman" w:hAnsi="Times New Roman" w:eastAsia="Times New Roman" w:cs="Times New Roman"/>
          <w:sz w:val="28"/>
          <w:szCs w:val="28"/>
          <w:lang w:eastAsia="ru-RU"/>
        </w:rPr>
        <w:t>Р</w:t>
      </w:r>
      <w:r>
        <w:rPr>
          <w:rFonts w:ascii="Times New Roman" w:hAnsi="Times New Roman" w:eastAsia="Times New Roman" w:cs="Times New Roman"/>
          <w:sz w:val="28"/>
          <w:szCs w:val="28"/>
          <w:lang w:val="en-US" w:eastAsia="ru-RU"/>
        </w:rPr>
        <w:t xml:space="preserve">.1131–1137. </w:t>
      </w:r>
      <w:r>
        <w:rPr>
          <w:rFonts w:ascii="Times New Roman" w:hAnsi="Times New Roman" w:eastAsia="Times New Roman" w:cs="Times New Roman"/>
          <w:sz w:val="28"/>
          <w:szCs w:val="28"/>
          <w:lang w:eastAsia="ru-RU"/>
        </w:rPr>
        <w:t>DOI: 10.3945/jn.116.245373</w:t>
      </w:r>
    </w:p>
    <w:p w14:paraId="20D27C92">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val="en-US" w:eastAsia="ru-RU"/>
        </w:rPr>
        <w:t xml:space="preserve"> Van Santen S., Kroot J.J.C., Zijderveld G., Wiegerinck E.T., Spaanderman M.E.A., Swinkels D.W. The iron regulatory hormone hepcidin is decreased in pregnancy: a prospective longitudinal study // Clin Chem Lab Med. –2013. –</w:t>
      </w:r>
      <w:r>
        <w:rPr>
          <w:rFonts w:ascii="Times New Roman" w:hAnsi="Times New Roman" w:eastAsia="Times New Roman" w:cs="Times New Roman"/>
          <w:sz w:val="28"/>
          <w:szCs w:val="28"/>
          <w:lang w:eastAsia="ru-RU"/>
        </w:rPr>
        <w:t>Т</w:t>
      </w:r>
      <w:r>
        <w:rPr>
          <w:rFonts w:ascii="Times New Roman" w:hAnsi="Times New Roman" w:eastAsia="Times New Roman" w:cs="Times New Roman"/>
          <w:sz w:val="28"/>
          <w:szCs w:val="28"/>
          <w:lang w:val="en-US" w:eastAsia="ru-RU"/>
        </w:rPr>
        <w:t>.51.–№7. –</w:t>
      </w:r>
      <w:r>
        <w:rPr>
          <w:rFonts w:ascii="Times New Roman" w:hAnsi="Times New Roman" w:eastAsia="Times New Roman" w:cs="Times New Roman"/>
          <w:sz w:val="28"/>
          <w:szCs w:val="28"/>
          <w:lang w:eastAsia="ru-RU"/>
        </w:rPr>
        <w:t>Б</w:t>
      </w:r>
      <w:r>
        <w:rPr>
          <w:rFonts w:ascii="Times New Roman" w:hAnsi="Times New Roman" w:eastAsia="Times New Roman" w:cs="Times New Roman"/>
          <w:sz w:val="28"/>
          <w:szCs w:val="28"/>
          <w:lang w:val="en-US" w:eastAsia="ru-RU"/>
        </w:rPr>
        <w:t xml:space="preserve">.1395–1401. </w:t>
      </w:r>
      <w:r>
        <w:rPr>
          <w:rFonts w:ascii="Times New Roman" w:hAnsi="Times New Roman" w:eastAsia="Times New Roman" w:cs="Times New Roman"/>
          <w:sz w:val="28"/>
          <w:szCs w:val="28"/>
          <w:lang w:eastAsia="ru-RU"/>
        </w:rPr>
        <w:t>DOI: 10.1515/cclm–2012–0576</w:t>
      </w:r>
    </w:p>
    <w:p w14:paraId="4601A011">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val="en-US" w:eastAsia="ru-RU"/>
        </w:rPr>
        <w:t xml:space="preserve"> Fisher A.L., Nemeth E. Iron homeostasis during pregnancy // Am J Clin Nutr.–2017.–</w:t>
      </w:r>
      <w:r>
        <w:rPr>
          <w:rFonts w:ascii="Times New Roman" w:hAnsi="Times New Roman" w:eastAsia="Times New Roman" w:cs="Times New Roman"/>
          <w:sz w:val="28"/>
          <w:szCs w:val="28"/>
          <w:lang w:eastAsia="ru-RU"/>
        </w:rPr>
        <w:t>Т</w:t>
      </w:r>
      <w:r>
        <w:rPr>
          <w:rFonts w:ascii="Times New Roman" w:hAnsi="Times New Roman" w:eastAsia="Times New Roman" w:cs="Times New Roman"/>
          <w:sz w:val="28"/>
          <w:szCs w:val="28"/>
          <w:lang w:val="en-US" w:eastAsia="ru-RU"/>
        </w:rPr>
        <w:t>.106.–№6.–</w:t>
      </w:r>
      <w:r>
        <w:rPr>
          <w:rFonts w:ascii="Times New Roman" w:hAnsi="Times New Roman" w:eastAsia="Times New Roman" w:cs="Times New Roman"/>
          <w:sz w:val="28"/>
          <w:szCs w:val="28"/>
          <w:lang w:eastAsia="ru-RU"/>
        </w:rPr>
        <w:t>Б</w:t>
      </w:r>
      <w:r>
        <w:rPr>
          <w:rFonts w:ascii="Times New Roman" w:hAnsi="Times New Roman" w:eastAsia="Times New Roman" w:cs="Times New Roman"/>
          <w:sz w:val="28"/>
          <w:szCs w:val="28"/>
          <w:lang w:val="en-US" w:eastAsia="ru-RU"/>
        </w:rPr>
        <w:t xml:space="preserve">.1567–1574. </w:t>
      </w:r>
      <w:r>
        <w:rPr>
          <w:rFonts w:ascii="Times New Roman" w:hAnsi="Times New Roman" w:eastAsia="Times New Roman" w:cs="Times New Roman"/>
          <w:sz w:val="28"/>
          <w:szCs w:val="28"/>
          <w:lang w:eastAsia="ru-RU"/>
        </w:rPr>
        <w:t>DOI: 10.3945/ajcn.117.155812</w:t>
      </w:r>
    </w:p>
    <w:p w14:paraId="47667A67">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val="en-US" w:eastAsia="ru-RU"/>
        </w:rPr>
        <w:t xml:space="preserve"> Thangaratinam S., Rogozinska E., Jolly K., Glinkowski S., Duda ´ W. Borowiack E., Roseboom T., Tomlinson J., Walczak J., Kunz R., et al. Interventions to reduce or prevent obesity in pregnant women: a systematic review // Health Technol Assess. –2012. –</w:t>
      </w:r>
      <w:r>
        <w:rPr>
          <w:rFonts w:ascii="Times New Roman" w:hAnsi="Times New Roman" w:eastAsia="Times New Roman" w:cs="Times New Roman"/>
          <w:sz w:val="28"/>
          <w:szCs w:val="28"/>
          <w:lang w:eastAsia="ru-RU"/>
        </w:rPr>
        <w:t>Т</w:t>
      </w:r>
      <w:r>
        <w:rPr>
          <w:rFonts w:ascii="Times New Roman" w:hAnsi="Times New Roman" w:eastAsia="Times New Roman" w:cs="Times New Roman"/>
          <w:sz w:val="28"/>
          <w:szCs w:val="28"/>
          <w:lang w:val="en-US" w:eastAsia="ru-RU"/>
        </w:rPr>
        <w:t>.16.–№31. –</w:t>
      </w:r>
      <w:r>
        <w:rPr>
          <w:rFonts w:ascii="Times New Roman" w:hAnsi="Times New Roman" w:eastAsia="Times New Roman" w:cs="Times New Roman"/>
          <w:sz w:val="28"/>
          <w:szCs w:val="28"/>
          <w:lang w:eastAsia="ru-RU"/>
        </w:rPr>
        <w:t>Б</w:t>
      </w:r>
      <w:r>
        <w:rPr>
          <w:rFonts w:ascii="Times New Roman" w:hAnsi="Times New Roman" w:eastAsia="Times New Roman" w:cs="Times New Roman"/>
          <w:sz w:val="28"/>
          <w:szCs w:val="28"/>
          <w:lang w:val="en-US" w:eastAsia="ru-RU"/>
        </w:rPr>
        <w:t xml:space="preserve">.191. </w:t>
      </w:r>
      <w:r>
        <w:rPr>
          <w:rFonts w:ascii="Times New Roman" w:hAnsi="Times New Roman" w:eastAsia="Times New Roman" w:cs="Times New Roman"/>
          <w:sz w:val="28"/>
          <w:szCs w:val="28"/>
          <w:lang w:eastAsia="ru-RU"/>
        </w:rPr>
        <w:t>DOI: 10.3310/hta16310</w:t>
      </w:r>
    </w:p>
    <w:p w14:paraId="41728D2C">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val="en-US" w:eastAsia="ru-RU"/>
        </w:rPr>
        <w:t xml:space="preserve"> Stevens G.A., Finucane M.M., De–Regil L.M., Paciorek C.J., Flaxman, S.R., Branca, F., Peña–Rosas, J.P., Bhutta, Z.A., Ezzati, M. Global, regional, and national trends in haemoglobin concentration and prevalence of total and severe anaemia in children and pregnant and non–pregnant women for 1995–2011: A systematic analysis of population–representative data // Lancet Glob. </w:t>
      </w:r>
      <w:r>
        <w:rPr>
          <w:rFonts w:ascii="Times New Roman" w:hAnsi="Times New Roman" w:eastAsia="Times New Roman" w:cs="Times New Roman"/>
          <w:sz w:val="28"/>
          <w:szCs w:val="28"/>
          <w:lang w:eastAsia="ru-RU"/>
        </w:rPr>
        <w:t>Health. –2013. –Т.1. –Б.16–25. DOI: 10.1016/S2214–109X(13)70001–9</w:t>
      </w:r>
    </w:p>
    <w:p w14:paraId="629E9CF6">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 Объединенная комиссия по качеству медицинских услуг Министерства здравоохранения Республики Казахстан от «30» октября 2020 года, Протокол №119.  Дефицитные анемии у беременных. </w:t>
      </w:r>
      <w:r>
        <w:fldChar w:fldCharType="begin"/>
      </w:r>
      <w:r>
        <w:instrText xml:space="preserve"> HYPERLINK "https://diseases.medelement.com/disease/дефицитные–анемии–у–беременных–2019/16507" </w:instrText>
      </w:r>
      <w:r>
        <w:fldChar w:fldCharType="separate"/>
      </w:r>
      <w:r>
        <w:rPr>
          <w:rFonts w:ascii="Times New Roman" w:hAnsi="Times New Roman" w:eastAsia="Times New Roman" w:cs="Times New Roman"/>
          <w:color w:val="0000FF"/>
          <w:sz w:val="28"/>
          <w:szCs w:val="28"/>
          <w:u w:val="single"/>
          <w:lang w:eastAsia="ru-RU"/>
        </w:rPr>
        <w:t>https://diseases.medelement.com/disease/дефицитные–анемии–у–беременных–2019/16507</w:t>
      </w:r>
      <w:r>
        <w:rPr>
          <w:rFonts w:ascii="Times New Roman" w:hAnsi="Times New Roman" w:eastAsia="Times New Roman" w:cs="Times New Roman"/>
          <w:color w:val="0000FF"/>
          <w:sz w:val="28"/>
          <w:szCs w:val="28"/>
          <w:u w:val="single"/>
          <w:lang w:eastAsia="ru-RU"/>
        </w:rPr>
        <w:fldChar w:fldCharType="end"/>
      </w:r>
      <w:r>
        <w:rPr>
          <w:rFonts w:ascii="Times New Roman" w:hAnsi="Times New Roman" w:eastAsia="Times New Roman" w:cs="Times New Roman"/>
          <w:sz w:val="28"/>
          <w:szCs w:val="28"/>
          <w:lang w:eastAsia="ru-RU"/>
        </w:rPr>
        <w:t xml:space="preserve"> (қолданылған күні: 30.02.2021).</w:t>
      </w:r>
    </w:p>
    <w:p w14:paraId="79F86A3F">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 ЮНЕСКО: Анализ положения детей и женщин в Республике Казахстан. – Казахстан: –2011. –Б.16.</w:t>
      </w:r>
    </w:p>
    <w:p w14:paraId="4A10EDC5">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 </w:t>
      </w:r>
      <w:r>
        <w:rPr>
          <w:rFonts w:ascii="Times New Roman" w:hAnsi="Times New Roman" w:eastAsia="Times New Roman" w:cs="Times New Roman"/>
          <w:sz w:val="28"/>
          <w:szCs w:val="28"/>
          <w:lang w:val="en-US" w:eastAsia="ru-RU"/>
        </w:rPr>
        <w:t xml:space="preserve">Yip R. Binkin N.J., Fleshood L., Trowbridge F.L. Declining prevalence of anemia among low–income children in the United States // J. Am. Med. </w:t>
      </w:r>
      <w:r>
        <w:rPr>
          <w:rFonts w:ascii="Times New Roman" w:hAnsi="Times New Roman" w:eastAsia="Times New Roman" w:cs="Times New Roman"/>
          <w:sz w:val="28"/>
          <w:szCs w:val="28"/>
          <w:lang w:eastAsia="ru-RU"/>
        </w:rPr>
        <w:t xml:space="preserve">Assoc. –1987. –Т.258. –Б. 1619–1623. </w:t>
      </w:r>
    </w:p>
    <w:p w14:paraId="067E7437">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val="en-US" w:eastAsia="ru-RU"/>
        </w:rPr>
        <w:t xml:space="preserve"> Bothwell, T.H. Iron requirements in pregnancy and strategies to meet them // Am. J. Clin. </w:t>
      </w:r>
      <w:r>
        <w:rPr>
          <w:rFonts w:ascii="Times New Roman" w:hAnsi="Times New Roman" w:eastAsia="Times New Roman" w:cs="Times New Roman"/>
          <w:sz w:val="28"/>
          <w:szCs w:val="28"/>
          <w:lang w:eastAsia="ru-RU"/>
        </w:rPr>
        <w:t>Nutr. –2000. –Т.72. –Б.257–264. DOI: 10.1093/ajcn/72.1.257S</w:t>
      </w:r>
    </w:p>
    <w:p w14:paraId="3C3D06B2">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val="en-US" w:eastAsia="ru-RU"/>
        </w:rPr>
        <w:t xml:space="preserve"> Lynch S., Pfeiffer C.M., Georgieff M.K., Brittenham G., Fairweather–Tait S., Hurrell R.F., McArdle H.J., Raiten D.J. Biomarkers of Nutrition for Development (BOND)—Iron Review // J. Nutr. –2018. –</w:t>
      </w:r>
      <w:r>
        <w:rPr>
          <w:rFonts w:ascii="Times New Roman" w:hAnsi="Times New Roman" w:eastAsia="Times New Roman" w:cs="Times New Roman"/>
          <w:sz w:val="28"/>
          <w:szCs w:val="28"/>
          <w:lang w:eastAsia="ru-RU"/>
        </w:rPr>
        <w:t>Т</w:t>
      </w:r>
      <w:r>
        <w:rPr>
          <w:rFonts w:ascii="Times New Roman" w:hAnsi="Times New Roman" w:eastAsia="Times New Roman" w:cs="Times New Roman"/>
          <w:sz w:val="28"/>
          <w:szCs w:val="28"/>
          <w:lang w:val="en-US" w:eastAsia="ru-RU"/>
        </w:rPr>
        <w:t>.148. –</w:t>
      </w:r>
      <w:r>
        <w:rPr>
          <w:rFonts w:ascii="Times New Roman" w:hAnsi="Times New Roman" w:eastAsia="Times New Roman" w:cs="Times New Roman"/>
          <w:sz w:val="28"/>
          <w:szCs w:val="28"/>
          <w:lang w:eastAsia="ru-RU"/>
        </w:rPr>
        <w:t>Б</w:t>
      </w:r>
      <w:r>
        <w:rPr>
          <w:rFonts w:ascii="Times New Roman" w:hAnsi="Times New Roman" w:eastAsia="Times New Roman" w:cs="Times New Roman"/>
          <w:sz w:val="28"/>
          <w:szCs w:val="28"/>
          <w:lang w:val="en-US" w:eastAsia="ru-RU"/>
        </w:rPr>
        <w:t xml:space="preserve">.1001–1067.  </w:t>
      </w:r>
      <w:r>
        <w:rPr>
          <w:rFonts w:ascii="Times New Roman" w:hAnsi="Times New Roman" w:eastAsia="Times New Roman" w:cs="Times New Roman"/>
          <w:sz w:val="28"/>
          <w:szCs w:val="28"/>
          <w:lang w:eastAsia="ru-RU"/>
        </w:rPr>
        <w:t>DOI: 10.1093/jn/nxx036</w:t>
      </w:r>
    </w:p>
    <w:p w14:paraId="0C36B4A8">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val="en-US" w:eastAsia="ru-RU"/>
        </w:rPr>
        <w:t xml:space="preserve"> Milman N., Byg K.–E., Agger A.O. Hemoglobin and erythrocyte indices during normal pregnancy and postpartum in 206 women with and without iron supplementation // Acta Obstet. </w:t>
      </w:r>
      <w:r>
        <w:rPr>
          <w:rFonts w:ascii="Times New Roman" w:hAnsi="Times New Roman" w:eastAsia="Times New Roman" w:cs="Times New Roman"/>
          <w:sz w:val="28"/>
          <w:szCs w:val="28"/>
          <w:lang w:eastAsia="ru-RU"/>
        </w:rPr>
        <w:t>Gynecol. Scand.–2000. –Т.79. –Б.89–98. DOI: 10.1034/j.1600–0412.2000.079002089.x</w:t>
      </w:r>
    </w:p>
    <w:p w14:paraId="29BD4A47">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val="en-US" w:eastAsia="ru-RU"/>
        </w:rPr>
        <w:t xml:space="preserve"> Peña–Rosas J.P., De–Regil L.M., Garcia–Casal M.N., Dowswell T. Daily oral iron supplementation during pregnancy // Cochrane Database Syst. </w:t>
      </w:r>
      <w:r>
        <w:rPr>
          <w:rFonts w:ascii="Times New Roman" w:hAnsi="Times New Roman" w:eastAsia="Times New Roman" w:cs="Times New Roman"/>
          <w:sz w:val="28"/>
          <w:szCs w:val="28"/>
          <w:lang w:eastAsia="ru-RU"/>
        </w:rPr>
        <w:t>Rev. –2015. –Б.527 DOI: 10.1002/14651858.CD004736.pub5</w:t>
      </w:r>
    </w:p>
    <w:p w14:paraId="5DD756F0">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val="en-US" w:eastAsia="ru-RU"/>
        </w:rPr>
        <w:t xml:space="preserve"> Medicine Chinese Society of Perinatal. Guideline for diagnosis  and treatment of iron deficiency and iron deficiency anemia in pregnancy // Chin J Perinat Med. –2014. –</w:t>
      </w:r>
      <w:r>
        <w:rPr>
          <w:rFonts w:ascii="Times New Roman" w:hAnsi="Times New Roman" w:eastAsia="Times New Roman" w:cs="Times New Roman"/>
          <w:sz w:val="28"/>
          <w:szCs w:val="28"/>
          <w:lang w:eastAsia="ru-RU"/>
        </w:rPr>
        <w:t>Т</w:t>
      </w:r>
      <w:r>
        <w:rPr>
          <w:rFonts w:ascii="Times New Roman" w:hAnsi="Times New Roman" w:eastAsia="Times New Roman" w:cs="Times New Roman"/>
          <w:sz w:val="28"/>
          <w:szCs w:val="28"/>
          <w:lang w:val="en-US" w:eastAsia="ru-RU"/>
        </w:rPr>
        <w:t>.17. –</w:t>
      </w:r>
      <w:r>
        <w:rPr>
          <w:rFonts w:ascii="Times New Roman" w:hAnsi="Times New Roman" w:eastAsia="Times New Roman" w:cs="Times New Roman"/>
          <w:sz w:val="28"/>
          <w:szCs w:val="28"/>
          <w:lang w:eastAsia="ru-RU"/>
        </w:rPr>
        <w:t>Б</w:t>
      </w:r>
      <w:r>
        <w:rPr>
          <w:rFonts w:ascii="Times New Roman" w:hAnsi="Times New Roman" w:eastAsia="Times New Roman" w:cs="Times New Roman"/>
          <w:sz w:val="28"/>
          <w:szCs w:val="28"/>
          <w:lang w:val="en-US" w:eastAsia="ru-RU"/>
        </w:rPr>
        <w:t>.451</w:t>
      </w:r>
      <w:r>
        <w:rPr>
          <w:rFonts w:ascii="Times New Roman" w:hAnsi="Times New Roman" w:eastAsia="Times New Roman" w:cs="Times New Roman"/>
          <w:sz w:val="28"/>
          <w:szCs w:val="28"/>
          <w:lang w:val="en-US" w:eastAsia="ru-RU"/>
        </w:rPr>
        <w:noBreakHyphen/>
      </w:r>
      <w:r>
        <w:rPr>
          <w:rFonts w:ascii="Times New Roman" w:hAnsi="Times New Roman" w:eastAsia="Times New Roman" w:cs="Times New Roman"/>
          <w:sz w:val="28"/>
          <w:szCs w:val="28"/>
          <w:lang w:val="en-US" w:eastAsia="ru-RU"/>
        </w:rPr>
        <w:t xml:space="preserve">454. </w:t>
      </w:r>
      <w:r>
        <w:rPr>
          <w:rFonts w:ascii="Times New Roman" w:hAnsi="Times New Roman" w:eastAsia="Times New Roman" w:cs="Times New Roman"/>
          <w:sz w:val="28"/>
          <w:szCs w:val="28"/>
          <w:lang w:eastAsia="ru-RU"/>
        </w:rPr>
        <w:t>DOI: 10.3760/cma.j.issn.1007–9408.2014.07.006.</w:t>
      </w:r>
    </w:p>
    <w:p w14:paraId="292F2A87">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val="en-US" w:eastAsia="ru-RU"/>
        </w:rPr>
        <w:t xml:space="preserve"> Brabin B.J., Premji Z., Verhoeff F. An Analysis of Anemia and Child Mortality. </w:t>
      </w:r>
      <w:r>
        <w:rPr>
          <w:rFonts w:ascii="Times New Roman" w:hAnsi="Times New Roman" w:eastAsia="Times New Roman" w:cs="Times New Roman"/>
          <w:sz w:val="28"/>
          <w:szCs w:val="28"/>
          <w:lang w:eastAsia="ru-RU"/>
        </w:rPr>
        <w:t>J. Nutr.–2001.–Т.131.–Б.636–648. DOI: 10.1093/jn/131.2.636S</w:t>
      </w:r>
    </w:p>
    <w:p w14:paraId="117F41C1">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eastAsia="ru-RU"/>
        </w:rPr>
        <w:t xml:space="preserve"> Daru J., Zamora J., Fernández–Félix B.M., Vogel J., Oladapo O.T., Morisaki, N., Tunçalp Ö., Torloni M.R., Mittal S., Jayaratne K., et al. </w:t>
      </w:r>
      <w:r>
        <w:rPr>
          <w:rFonts w:ascii="Times New Roman" w:hAnsi="Times New Roman" w:eastAsia="Times New Roman" w:cs="Times New Roman"/>
          <w:sz w:val="28"/>
          <w:szCs w:val="28"/>
          <w:lang w:val="en-US" w:eastAsia="ru-RU"/>
        </w:rPr>
        <w:t>Risk of maternal mortality in women with severe anaemia during pregnancy and post partum: A multilevel analysis.Lancet Glob. Health. – 2018. –</w:t>
      </w:r>
      <w:r>
        <w:rPr>
          <w:rFonts w:ascii="Times New Roman" w:hAnsi="Times New Roman" w:eastAsia="Times New Roman" w:cs="Times New Roman"/>
          <w:sz w:val="28"/>
          <w:szCs w:val="28"/>
          <w:lang w:eastAsia="ru-RU"/>
        </w:rPr>
        <w:t>Т</w:t>
      </w:r>
      <w:r>
        <w:rPr>
          <w:rFonts w:ascii="Times New Roman" w:hAnsi="Times New Roman" w:eastAsia="Times New Roman" w:cs="Times New Roman"/>
          <w:sz w:val="28"/>
          <w:szCs w:val="28"/>
          <w:lang w:val="en-US" w:eastAsia="ru-RU"/>
        </w:rPr>
        <w:t>.6. –</w:t>
      </w:r>
      <w:r>
        <w:rPr>
          <w:rFonts w:ascii="Times New Roman" w:hAnsi="Times New Roman" w:eastAsia="Times New Roman" w:cs="Times New Roman"/>
          <w:sz w:val="28"/>
          <w:szCs w:val="28"/>
          <w:lang w:eastAsia="ru-RU"/>
        </w:rPr>
        <w:t>Б</w:t>
      </w:r>
      <w:r>
        <w:rPr>
          <w:rFonts w:ascii="Times New Roman" w:hAnsi="Times New Roman" w:eastAsia="Times New Roman" w:cs="Times New Roman"/>
          <w:sz w:val="28"/>
          <w:szCs w:val="28"/>
          <w:lang w:val="en-US" w:eastAsia="ru-RU"/>
        </w:rPr>
        <w:t>.548–554. DOI: 10.1016/S2214–109X(18)30078–0</w:t>
      </w:r>
    </w:p>
    <w:p w14:paraId="5A0A523E">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val="en-US" w:eastAsia="ru-RU"/>
        </w:rPr>
        <w:t xml:space="preserve"> Anderson A.K. Prevalence of anemia, overweight/Obesity, and hypertension and diabetes among residents of selected communities in Ghana. </w:t>
      </w:r>
      <w:r>
        <w:rPr>
          <w:rFonts w:ascii="Times New Roman" w:hAnsi="Times New Roman" w:eastAsia="Times New Roman" w:cs="Times New Roman"/>
          <w:sz w:val="28"/>
          <w:szCs w:val="28"/>
          <w:lang w:eastAsia="ru-RU"/>
        </w:rPr>
        <w:t>Int J Chronic Dis. – 2017. 2017:7836019. DOI: 10.1155/2017/7836019</w:t>
      </w:r>
    </w:p>
    <w:p w14:paraId="5901F927">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val="en-US" w:eastAsia="ru-RU"/>
        </w:rPr>
        <w:t xml:space="preserve"> Rao R., Georgieff M.K. Iron in fetal and neonatal nutrition. Semin Fetal Neonatal Med. – 2007. –</w:t>
      </w:r>
      <w:r>
        <w:rPr>
          <w:rFonts w:ascii="Times New Roman" w:hAnsi="Times New Roman" w:eastAsia="Times New Roman" w:cs="Times New Roman"/>
          <w:sz w:val="28"/>
          <w:szCs w:val="28"/>
          <w:lang w:eastAsia="ru-RU"/>
        </w:rPr>
        <w:t>Т</w:t>
      </w:r>
      <w:r>
        <w:rPr>
          <w:rFonts w:ascii="Times New Roman" w:hAnsi="Times New Roman" w:eastAsia="Times New Roman" w:cs="Times New Roman"/>
          <w:sz w:val="28"/>
          <w:szCs w:val="28"/>
          <w:lang w:val="en-US" w:eastAsia="ru-RU"/>
        </w:rPr>
        <w:t>.12.-</w:t>
      </w:r>
      <w:r>
        <w:rPr>
          <w:rFonts w:ascii="Times New Roman" w:hAnsi="Times New Roman" w:eastAsia="Times New Roman" w:cs="Times New Roman"/>
          <w:sz w:val="28"/>
          <w:szCs w:val="28"/>
          <w:lang w:eastAsia="ru-RU"/>
        </w:rPr>
        <w:t>Б</w:t>
      </w:r>
      <w:r>
        <w:rPr>
          <w:rFonts w:ascii="Times New Roman" w:hAnsi="Times New Roman" w:eastAsia="Times New Roman" w:cs="Times New Roman"/>
          <w:sz w:val="28"/>
          <w:szCs w:val="28"/>
          <w:lang w:val="en-US" w:eastAsia="ru-RU"/>
        </w:rPr>
        <w:t xml:space="preserve">.54–63. </w:t>
      </w:r>
      <w:r>
        <w:rPr>
          <w:rFonts w:ascii="Times New Roman" w:hAnsi="Times New Roman" w:eastAsia="Times New Roman" w:cs="Times New Roman"/>
          <w:sz w:val="28"/>
          <w:szCs w:val="28"/>
          <w:lang w:eastAsia="ru-RU"/>
        </w:rPr>
        <w:t>DOI: 10.1016/j.siny.2006.10.007</w:t>
      </w:r>
    </w:p>
    <w:p w14:paraId="3BC024D6">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val="en-US" w:eastAsia="ru-RU"/>
        </w:rPr>
        <w:t xml:space="preserve"> Christian P., Stewart C.P. Maternal micronutrient deficiency, fetal development, and the risk of chronic disease. </w:t>
      </w:r>
      <w:r>
        <w:rPr>
          <w:rFonts w:ascii="Times New Roman" w:hAnsi="Times New Roman" w:eastAsia="Times New Roman" w:cs="Times New Roman"/>
          <w:sz w:val="28"/>
          <w:szCs w:val="28"/>
          <w:lang w:eastAsia="ru-RU"/>
        </w:rPr>
        <w:t>J Nutr. – 2010. -Т.140.-Б.437–445. DOI: 10.3945/jn.109.116327</w:t>
      </w:r>
    </w:p>
    <w:p w14:paraId="5551ED26">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val="en-US" w:eastAsia="ru-RU"/>
        </w:rPr>
        <w:t xml:space="preserve"> Shamah–Levy. T., Villalpando S., Mundo–Rosas V., De la Cruz–Góngora V., Mejía–Rodríguez F., Méndez Gómez–Humarán I. Prevalence of anemia in reproductive–age Mexican women. </w:t>
      </w:r>
      <w:r>
        <w:rPr>
          <w:rFonts w:ascii="Times New Roman" w:hAnsi="Times New Roman" w:eastAsia="Times New Roman" w:cs="Times New Roman"/>
          <w:sz w:val="28"/>
          <w:szCs w:val="28"/>
          <w:lang w:eastAsia="ru-RU"/>
        </w:rPr>
        <w:t xml:space="preserve">Salud Publica Mex. – 2013. </w:t>
      </w:r>
    </w:p>
    <w:p w14:paraId="4303A89D">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 xml:space="preserve"> Instituto Nacional de Salud Pública y Secretaría de Salud de México Encuesta Nacional de Salud y Nutrición de Medio Camino 2016 (ENSANUT 2016) Informe Final de Resultados. http://transparencia.insp.mx/2017/auditorias–insp/12701_Resultados_Encuesta_ ENSANUT_MC2016.pdf (</w:t>
      </w:r>
      <w:r>
        <w:rPr>
          <w:rFonts w:ascii="Times New Roman" w:hAnsi="Times New Roman" w:eastAsia="Times New Roman" w:cs="Times New Roman"/>
          <w:sz w:val="28"/>
          <w:szCs w:val="28"/>
          <w:lang w:eastAsia="ru-RU"/>
        </w:rPr>
        <w:t>қолданылған</w:t>
      </w:r>
      <w:r>
        <w:rPr>
          <w:rFonts w:ascii="Times New Roman" w:hAnsi="Times New Roman" w:eastAsia="Times New Roman" w:cs="Times New Roman"/>
          <w:sz w:val="28"/>
          <w:szCs w:val="28"/>
          <w:lang w:val="en-US" w:eastAsia="ru-RU"/>
        </w:rPr>
        <w:t xml:space="preserve"> </w:t>
      </w:r>
      <w:r>
        <w:rPr>
          <w:rFonts w:ascii="Times New Roman" w:hAnsi="Times New Roman" w:eastAsia="Times New Roman" w:cs="Times New Roman"/>
          <w:sz w:val="28"/>
          <w:szCs w:val="28"/>
          <w:lang w:eastAsia="ru-RU"/>
        </w:rPr>
        <w:t>күні</w:t>
      </w:r>
      <w:r>
        <w:rPr>
          <w:rFonts w:ascii="Times New Roman" w:hAnsi="Times New Roman" w:eastAsia="Times New Roman" w:cs="Times New Roman"/>
          <w:sz w:val="28"/>
          <w:szCs w:val="28"/>
          <w:lang w:val="en-US" w:eastAsia="ru-RU"/>
        </w:rPr>
        <w:t>: 30.05.2024</w:t>
      </w:r>
      <w:r>
        <w:rPr>
          <w:rFonts w:ascii="Times New Roman" w:hAnsi="Times New Roman" w:eastAsia="Times New Roman" w:cs="Times New Roman"/>
          <w:sz w:val="28"/>
          <w:szCs w:val="28"/>
          <w:lang w:eastAsia="ru-RU"/>
        </w:rPr>
        <w:t>ж</w:t>
      </w:r>
      <w:r>
        <w:rPr>
          <w:rFonts w:ascii="Times New Roman" w:hAnsi="Times New Roman" w:eastAsia="Times New Roman" w:cs="Times New Roman"/>
          <w:sz w:val="28"/>
          <w:szCs w:val="28"/>
          <w:lang w:val="en-US" w:eastAsia="ru-RU"/>
        </w:rPr>
        <w:t>).</w:t>
      </w:r>
    </w:p>
    <w:p w14:paraId="7E6878C1">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val="en-US" w:eastAsia="ru-RU"/>
        </w:rPr>
        <w:t xml:space="preserve"> Swinburn B.A., Sacks G., Hall K.D., McPherson K., Finegood D.T., Moodie M.L., Gortmaker S.L. The global obesity pandemic: Shaped by global drivers and local environments. </w:t>
      </w:r>
      <w:r>
        <w:rPr>
          <w:rFonts w:ascii="Times New Roman" w:hAnsi="Times New Roman" w:eastAsia="Times New Roman" w:cs="Times New Roman"/>
          <w:sz w:val="28"/>
          <w:szCs w:val="28"/>
          <w:lang w:eastAsia="ru-RU"/>
        </w:rPr>
        <w:t>Lancet. – 2011. – Т.378. – Б. 804–814. DOI: 10.1016/S0140–6736(11)60813–1</w:t>
      </w:r>
    </w:p>
    <w:p w14:paraId="08ED8FA2">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val="en-US" w:eastAsia="ru-RU"/>
        </w:rPr>
        <w:t xml:space="preserve"> Bentham J., Cesare D., Bllano M., Boddy V., LM and NCD–RisC Group. Worldwide trends in children’s and adolescents’ body mass index, underweight and obesity, in comparison with adults, from 1975 to 2016: A pooled analysis of 2416 population–based measurement studies with 128.9 million participants. </w:t>
      </w:r>
      <w:r>
        <w:rPr>
          <w:rFonts w:ascii="Times New Roman" w:hAnsi="Times New Roman" w:eastAsia="Times New Roman" w:cs="Times New Roman"/>
          <w:sz w:val="28"/>
          <w:szCs w:val="28"/>
          <w:lang w:eastAsia="ru-RU"/>
        </w:rPr>
        <w:t>Lancet. – 2017. – Т.390. – Б. 2627–2642.</w:t>
      </w:r>
    </w:p>
    <w:p w14:paraId="1CABF5B9">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eastAsia="ru-RU"/>
        </w:rPr>
        <w:t xml:space="preserve"> Bhowmik B., Munir S.B., Diep L.M., Siddiquee T., Habib S.H., Samad M.A., et al. </w:t>
      </w:r>
      <w:r>
        <w:rPr>
          <w:rFonts w:ascii="Times New Roman" w:hAnsi="Times New Roman" w:eastAsia="Times New Roman" w:cs="Times New Roman"/>
          <w:sz w:val="28"/>
          <w:szCs w:val="28"/>
          <w:lang w:val="en-US" w:eastAsia="ru-RU"/>
        </w:rPr>
        <w:t>Anthropometric indicators of obesity for identifying cardiometabolic risk factors in a rural Bangladeshi population. J Diabetes Investig. – 2013.-4.-</w:t>
      </w:r>
      <w:r>
        <w:rPr>
          <w:rFonts w:ascii="Times New Roman" w:hAnsi="Times New Roman" w:eastAsia="Times New Roman" w:cs="Times New Roman"/>
          <w:sz w:val="28"/>
          <w:szCs w:val="28"/>
          <w:lang w:eastAsia="ru-RU"/>
        </w:rPr>
        <w:t>Б</w:t>
      </w:r>
      <w:r>
        <w:rPr>
          <w:rFonts w:ascii="Times New Roman" w:hAnsi="Times New Roman" w:eastAsia="Times New Roman" w:cs="Times New Roman"/>
          <w:sz w:val="28"/>
          <w:szCs w:val="28"/>
          <w:lang w:val="en-US" w:eastAsia="ru-RU"/>
        </w:rPr>
        <w:t>.361</w:t>
      </w:r>
      <w:r>
        <w:rPr>
          <w:rFonts w:ascii="Times New Roman" w:hAnsi="Times New Roman" w:eastAsia="Times New Roman" w:cs="Times New Roman"/>
          <w:sz w:val="28"/>
          <w:szCs w:val="28"/>
          <w:lang w:val="en-US" w:eastAsia="ru-RU"/>
        </w:rPr>
        <w:noBreakHyphen/>
      </w:r>
      <w:r>
        <w:rPr>
          <w:rFonts w:ascii="Times New Roman" w:hAnsi="Times New Roman" w:eastAsia="Times New Roman" w:cs="Times New Roman"/>
          <w:sz w:val="28"/>
          <w:szCs w:val="28"/>
          <w:lang w:val="en-US" w:eastAsia="ru-RU"/>
        </w:rPr>
        <w:t>368.</w:t>
      </w:r>
    </w:p>
    <w:p w14:paraId="0BFE72B5">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val="en-US" w:eastAsia="ru-RU"/>
        </w:rPr>
        <w:t xml:space="preserve"> Lear S.A., Teo K., Gasevic D., Zhang X., Poirier P.P., Rangarajan S., et al. The association between ownership of common household devices and obesity and diabetes in high, middle and low income countries. </w:t>
      </w:r>
      <w:r>
        <w:rPr>
          <w:rFonts w:ascii="Times New Roman" w:hAnsi="Times New Roman" w:eastAsia="Times New Roman" w:cs="Times New Roman"/>
          <w:sz w:val="28"/>
          <w:szCs w:val="28"/>
          <w:lang w:eastAsia="ru-RU"/>
        </w:rPr>
        <w:t>CMAJ. – 2014.-Т.186. – P. 258</w:t>
      </w:r>
      <w:r>
        <w:rPr>
          <w:rFonts w:ascii="Times New Roman" w:hAnsi="Times New Roman" w:eastAsia="Times New Roman" w:cs="Times New Roman"/>
          <w:sz w:val="28"/>
          <w:szCs w:val="28"/>
          <w:lang w:eastAsia="ru-RU"/>
        </w:rPr>
        <w:noBreakHyphen/>
      </w:r>
      <w:r>
        <w:rPr>
          <w:rFonts w:ascii="Times New Roman" w:hAnsi="Times New Roman" w:eastAsia="Times New Roman" w:cs="Times New Roman"/>
          <w:sz w:val="28"/>
          <w:szCs w:val="28"/>
          <w:lang w:eastAsia="ru-RU"/>
        </w:rPr>
        <w:t>266. DOI: 10.1503/cmaj.131090</w:t>
      </w:r>
    </w:p>
    <w:p w14:paraId="3B833B95">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 xml:space="preserve"> WHO. Population–Based Approaches to Childhood Obesity Prevention; WHO: Geneva, Switzerland. – 2012. – </w:t>
      </w:r>
      <w:r>
        <w:rPr>
          <w:rFonts w:ascii="Times New Roman" w:hAnsi="Times New Roman" w:eastAsia="Times New Roman" w:cs="Times New Roman"/>
          <w:sz w:val="28"/>
          <w:szCs w:val="28"/>
          <w:lang w:eastAsia="ru-RU"/>
        </w:rPr>
        <w:t>Б</w:t>
      </w:r>
      <w:r>
        <w:rPr>
          <w:rFonts w:ascii="Times New Roman" w:hAnsi="Times New Roman" w:eastAsia="Times New Roman" w:cs="Times New Roman"/>
          <w:sz w:val="28"/>
          <w:szCs w:val="28"/>
          <w:lang w:val="en-US" w:eastAsia="ru-RU"/>
        </w:rPr>
        <w:t xml:space="preserve">. 1–45. </w:t>
      </w:r>
    </w:p>
    <w:p w14:paraId="349194F4">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 xml:space="preserve"> Kominiarek M.A., PeaemanA.M. Gestational weight gain. Am. J. Obstet. Gynecol. – 2017. – </w:t>
      </w:r>
      <w:r>
        <w:rPr>
          <w:rFonts w:ascii="Times New Roman" w:hAnsi="Times New Roman" w:eastAsia="Times New Roman" w:cs="Times New Roman"/>
          <w:sz w:val="28"/>
          <w:szCs w:val="28"/>
          <w:lang w:eastAsia="ru-RU"/>
        </w:rPr>
        <w:t>Т</w:t>
      </w:r>
      <w:r>
        <w:rPr>
          <w:rFonts w:ascii="Times New Roman" w:hAnsi="Times New Roman" w:eastAsia="Times New Roman" w:cs="Times New Roman"/>
          <w:sz w:val="28"/>
          <w:szCs w:val="28"/>
          <w:lang w:val="en-US" w:eastAsia="ru-RU"/>
        </w:rPr>
        <w:t xml:space="preserve">.217. – </w:t>
      </w:r>
      <w:r>
        <w:rPr>
          <w:rFonts w:ascii="Times New Roman" w:hAnsi="Times New Roman" w:eastAsia="Times New Roman" w:cs="Times New Roman"/>
          <w:sz w:val="28"/>
          <w:szCs w:val="28"/>
          <w:lang w:eastAsia="ru-RU"/>
        </w:rPr>
        <w:t>Б</w:t>
      </w:r>
      <w:r>
        <w:rPr>
          <w:rFonts w:ascii="Times New Roman" w:hAnsi="Times New Roman" w:eastAsia="Times New Roman" w:cs="Times New Roman"/>
          <w:sz w:val="28"/>
          <w:szCs w:val="28"/>
          <w:lang w:val="en-US" w:eastAsia="ru-RU"/>
        </w:rPr>
        <w:t xml:space="preserve">. 642–651. </w:t>
      </w:r>
    </w:p>
    <w:p w14:paraId="500C159A">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val="en-US" w:eastAsia="ru-RU"/>
        </w:rPr>
        <w:t xml:space="preserve"> Wellman N.S., Friedberg B. Causes and consequences of adult obesity: Health, social and economic impacts in the United States. </w:t>
      </w:r>
      <w:r>
        <w:rPr>
          <w:rFonts w:ascii="Times New Roman" w:hAnsi="Times New Roman" w:eastAsia="Times New Roman" w:cs="Times New Roman"/>
          <w:sz w:val="28"/>
          <w:szCs w:val="28"/>
          <w:lang w:eastAsia="ru-RU"/>
        </w:rPr>
        <w:t xml:space="preserve">Asia Pac. J. Clin. Nutr. – 2002. – Т.11. – Б. 705–709. </w:t>
      </w:r>
    </w:p>
    <w:p w14:paraId="7AA5A14A">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val="en-US" w:eastAsia="ru-RU"/>
        </w:rPr>
        <w:t xml:space="preserve"> Khambule L., Anna George J,. Reviews on Biomarker Studies of Metabolic and Metabolism–Related Disorders. 12 The role of Inflammation in the developement of GDM and the use of Markers of Inflammation in GDM screening. </w:t>
      </w:r>
      <w:r>
        <w:rPr>
          <w:rFonts w:ascii="Times New Roman" w:hAnsi="Times New Roman" w:eastAsia="Times New Roman" w:cs="Times New Roman"/>
          <w:sz w:val="28"/>
          <w:szCs w:val="28"/>
          <w:lang w:eastAsia="ru-RU"/>
        </w:rPr>
        <w:t xml:space="preserve">Adv. Exp. Med. Biol. – 2019. – Б. 217–242. </w:t>
      </w:r>
    </w:p>
    <w:p w14:paraId="3F2986C0">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val="en-US" w:eastAsia="ru-RU"/>
        </w:rPr>
        <w:t xml:space="preserve"> Korlesky C., Kling P.J., Pham D.Q.D., Ovasapyan A.A., Leyns C.E.G., Weber M.B., Coe C.L., Cord Blood Erythropoietin and Hepcidin Reflect Lower Newborn Iron Stores due to Maternal Obesity during Pregnancy. </w:t>
      </w:r>
      <w:r>
        <w:rPr>
          <w:rFonts w:ascii="Times New Roman" w:hAnsi="Times New Roman" w:eastAsia="Times New Roman" w:cs="Times New Roman"/>
          <w:sz w:val="28"/>
          <w:szCs w:val="28"/>
          <w:lang w:eastAsia="ru-RU"/>
        </w:rPr>
        <w:t>Am. J. Perinatol. – 2018. – Т.36. – Б. 511–516. DOI: 10.1055/s–0038–1669444</w:t>
      </w:r>
    </w:p>
    <w:p w14:paraId="372338C3">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val="en-US" w:eastAsia="ru-RU"/>
        </w:rPr>
        <w:t xml:space="preserve"> Chen A., Feresu S.A., Fernandez C., Rogan W.J., Maternal Obesity and the Risk of Infant Death in the United States. </w:t>
      </w:r>
      <w:r>
        <w:rPr>
          <w:rFonts w:ascii="Times New Roman" w:hAnsi="Times New Roman" w:eastAsia="Times New Roman" w:cs="Times New Roman"/>
          <w:sz w:val="28"/>
          <w:szCs w:val="28"/>
          <w:lang w:eastAsia="ru-RU"/>
        </w:rPr>
        <w:t>Epidemiology. – 2009. –Т.20. – Б. 74–81. DOI: 10.1097/EDE.0b013e3181878645</w:t>
      </w:r>
    </w:p>
    <w:p w14:paraId="5D454F7A">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val="en-US" w:eastAsia="ru-RU"/>
        </w:rPr>
        <w:t xml:space="preserve"> Kristensen J., Vestergaard M., Wisborg K., Kesmodel U., Secher J. Pre–pregnancy weight and the risk of stillbirth and neonatal death. </w:t>
      </w:r>
      <w:r>
        <w:rPr>
          <w:rFonts w:ascii="Times New Roman" w:hAnsi="Times New Roman" w:eastAsia="Times New Roman" w:cs="Times New Roman"/>
          <w:sz w:val="28"/>
          <w:szCs w:val="28"/>
          <w:lang w:eastAsia="ru-RU"/>
        </w:rPr>
        <w:t>Int. J. Obstet. Gyneacol. – 2005. – Т.112. – Б. 403–408. DOI: 10.1111/j.1471–0528.2005.00437.x</w:t>
      </w:r>
    </w:p>
    <w:p w14:paraId="4706F5D4">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val="en-US" w:eastAsia="ru-RU"/>
        </w:rPr>
        <w:t xml:space="preserve"> Ovesen P., Rasmussen S., Kesmodel U. Effect of Prepregnancy Maternal Overweight and Obesity on Pregnancy Outcome. </w:t>
      </w:r>
      <w:r>
        <w:rPr>
          <w:rFonts w:ascii="Times New Roman" w:hAnsi="Times New Roman" w:eastAsia="Times New Roman" w:cs="Times New Roman"/>
          <w:sz w:val="28"/>
          <w:szCs w:val="28"/>
          <w:lang w:eastAsia="ru-RU"/>
        </w:rPr>
        <w:t>Obstet. Gynecol. – 2011. – Т.118. – Б. 305–312. DOI: 10.1097/AOG.0b013e3182245d49</w:t>
      </w:r>
    </w:p>
    <w:p w14:paraId="71119F2D">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val="en-US" w:eastAsia="ru-RU"/>
        </w:rPr>
        <w:t xml:space="preserve"> Nohr E.A., Timpson N.J., Andersen C.S., Smith G.D., Olsen J., Sørensen, T.I.A. Severe Obesity in Young Women and Reproductive Health: The Danish National Birth Cohort. </w:t>
      </w:r>
      <w:r>
        <w:rPr>
          <w:rFonts w:ascii="Times New Roman" w:hAnsi="Times New Roman" w:eastAsia="Times New Roman" w:cs="Times New Roman"/>
          <w:sz w:val="28"/>
          <w:szCs w:val="28"/>
          <w:lang w:eastAsia="ru-RU"/>
        </w:rPr>
        <w:t>PLoS ONE. – 2009. – 4. – e8444. DOI: 10.1371/journal.pone.0008444</w:t>
      </w:r>
    </w:p>
    <w:p w14:paraId="4C148765">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val="en-US" w:eastAsia="ru-RU"/>
        </w:rPr>
        <w:t xml:space="preserve"> Leddy M.A., Power M.L., Schulkin J. Impact of maternal obesity on fetal health. </w:t>
      </w:r>
      <w:r>
        <w:rPr>
          <w:rFonts w:ascii="Times New Roman" w:hAnsi="Times New Roman" w:eastAsia="Times New Roman" w:cs="Times New Roman"/>
          <w:sz w:val="28"/>
          <w:szCs w:val="28"/>
          <w:lang w:eastAsia="ru-RU"/>
        </w:rPr>
        <w:t>Rev. Obstet. Gynecol. – 2008. – Т.1. – Б. 170–178.</w:t>
      </w:r>
    </w:p>
    <w:p w14:paraId="4A9B05E2">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val="en-US" w:eastAsia="ru-RU"/>
        </w:rPr>
        <w:t xml:space="preserve"> Radulescu L., Munteanu O., Popa F., Cirstoiu M. The implications and consequences of maternal obesity on fetal intrauterine growth restriction. </w:t>
      </w:r>
      <w:r>
        <w:rPr>
          <w:rFonts w:ascii="Times New Roman" w:hAnsi="Times New Roman" w:eastAsia="Times New Roman" w:cs="Times New Roman"/>
          <w:sz w:val="28"/>
          <w:szCs w:val="28"/>
          <w:lang w:eastAsia="ru-RU"/>
        </w:rPr>
        <w:t>J. Med. Life. – 2013. – Т.6. – Б. 292–298.</w:t>
      </w:r>
    </w:p>
    <w:p w14:paraId="383D80ED">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val="en-US" w:eastAsia="ru-RU"/>
        </w:rPr>
        <w:t xml:space="preserve"> Farpour–Lambert N.J., Ells L.J., Martinez de Tejada B., Scott C. Obesity and Weight Gain in Pregnancy and Postpartum: An Evidence Review of Lifestyle Interventions to Inform Maternal and Child Health Policies. </w:t>
      </w:r>
      <w:r>
        <w:rPr>
          <w:rFonts w:ascii="Times New Roman" w:hAnsi="Times New Roman" w:eastAsia="Times New Roman" w:cs="Times New Roman"/>
          <w:sz w:val="28"/>
          <w:szCs w:val="28"/>
          <w:lang w:eastAsia="ru-RU"/>
        </w:rPr>
        <w:t>Front. Endocrinol. – 2018. – Т.9. – Б.546. DOI: 10.3389/fendo.2018.00546</w:t>
      </w:r>
    </w:p>
    <w:p w14:paraId="2A87C510">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val="en-US" w:eastAsia="ru-RU"/>
        </w:rPr>
        <w:t xml:space="preserve"> Johnson C.D., Jones S., Paranjothy S. Reducing Low Birth Weight: Prioritizing Action to Address Modifiable Risk Factors. </w:t>
      </w:r>
      <w:r>
        <w:rPr>
          <w:rFonts w:ascii="Times New Roman" w:hAnsi="Times New Roman" w:eastAsia="Times New Roman" w:cs="Times New Roman"/>
          <w:sz w:val="28"/>
          <w:szCs w:val="28"/>
          <w:lang w:eastAsia="ru-RU"/>
        </w:rPr>
        <w:t>J. Public Health Oxf. Engl. – 2017. – Т.39. – Б. 122–131. DOI: 10.1093/pubmed/fdv212</w:t>
      </w:r>
    </w:p>
    <w:p w14:paraId="359FBCCC">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Akanmode A.M., Mahdy H. Macrosomia // In StatPearls; StatPearls Publishing: Treasure Island, FL, US. – 2020. – URL: https://www.statpearls.com/ArticleLibrary/viewarticle/XXXXX (</w:t>
      </w:r>
      <w:r>
        <w:rPr>
          <w:rFonts w:ascii="Times New Roman" w:hAnsi="Times New Roman" w:eastAsia="Times New Roman" w:cs="Times New Roman"/>
          <w:sz w:val="28"/>
          <w:szCs w:val="28"/>
          <w:lang w:eastAsia="ru-RU"/>
        </w:rPr>
        <w:t>қолданылған</w:t>
      </w:r>
      <w:r>
        <w:rPr>
          <w:rFonts w:ascii="Times New Roman" w:hAnsi="Times New Roman" w:eastAsia="Times New Roman" w:cs="Times New Roman"/>
          <w:sz w:val="28"/>
          <w:szCs w:val="28"/>
          <w:lang w:val="en-US" w:eastAsia="ru-RU"/>
        </w:rPr>
        <w:t xml:space="preserve"> </w:t>
      </w:r>
      <w:r>
        <w:rPr>
          <w:rFonts w:ascii="Times New Roman" w:hAnsi="Times New Roman" w:eastAsia="Times New Roman" w:cs="Times New Roman"/>
          <w:sz w:val="28"/>
          <w:szCs w:val="28"/>
          <w:lang w:eastAsia="ru-RU"/>
        </w:rPr>
        <w:t>күні</w:t>
      </w:r>
      <w:r>
        <w:rPr>
          <w:rFonts w:ascii="Times New Roman" w:hAnsi="Times New Roman" w:eastAsia="Times New Roman" w:cs="Times New Roman"/>
          <w:sz w:val="28"/>
          <w:szCs w:val="28"/>
          <w:lang w:val="en-US" w:eastAsia="ru-RU"/>
        </w:rPr>
        <w:t>: 30.05.2024</w:t>
      </w:r>
      <w:r>
        <w:rPr>
          <w:rFonts w:ascii="Times New Roman" w:hAnsi="Times New Roman" w:eastAsia="Times New Roman" w:cs="Times New Roman"/>
          <w:sz w:val="28"/>
          <w:szCs w:val="28"/>
          <w:lang w:eastAsia="ru-RU"/>
        </w:rPr>
        <w:t>ж</w:t>
      </w:r>
      <w:r>
        <w:rPr>
          <w:rFonts w:ascii="Times New Roman" w:hAnsi="Times New Roman" w:eastAsia="Times New Roman" w:cs="Times New Roman"/>
          <w:sz w:val="28"/>
          <w:szCs w:val="28"/>
          <w:lang w:val="en-US" w:eastAsia="ru-RU"/>
        </w:rPr>
        <w:t>).</w:t>
      </w:r>
    </w:p>
    <w:p w14:paraId="4C1AAA9C">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val="en-US" w:eastAsia="ru-RU"/>
        </w:rPr>
        <w:t xml:space="preserve">Lewandowska M. The Role of Maternal Weight in the Hierarchy of Macrosomia Predictors; Overall Effect of Analysis of Three Prediction Indicators. </w:t>
      </w:r>
      <w:r>
        <w:rPr>
          <w:rFonts w:ascii="Times New Roman" w:hAnsi="Times New Roman" w:eastAsia="Times New Roman" w:cs="Times New Roman"/>
          <w:sz w:val="28"/>
          <w:szCs w:val="28"/>
          <w:lang w:eastAsia="ru-RU"/>
        </w:rPr>
        <w:t>Nutrients. – 2021. – Т.13. – Б. 801.  DOI: 10.3390/nu13030801</w:t>
      </w:r>
    </w:p>
    <w:p w14:paraId="36100DF8">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val="en-US" w:eastAsia="ru-RU"/>
        </w:rPr>
        <w:t xml:space="preserve"> Howell K.R., Powell T.L. Effects of Maternal Obesity on Placental Function and Fetal Development. </w:t>
      </w:r>
      <w:r>
        <w:rPr>
          <w:rFonts w:ascii="Times New Roman" w:hAnsi="Times New Roman" w:eastAsia="Times New Roman" w:cs="Times New Roman"/>
          <w:sz w:val="28"/>
          <w:szCs w:val="28"/>
          <w:lang w:eastAsia="ru-RU"/>
        </w:rPr>
        <w:t>Reprod. Camb. Engl. – 2017. – Т.153. –Б.97–108.  DOI: 10.1530/REP–16–0495</w:t>
      </w:r>
    </w:p>
    <w:p w14:paraId="20F4C122">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val="en-US" w:eastAsia="ru-RU"/>
        </w:rPr>
        <w:t xml:space="preserve"> Dai R.X., He X.J., Hu C.L. Maternal Pre–Pregnancy Obesity and the Risk of Macrosomia: A Meta–Analysis. </w:t>
      </w:r>
      <w:r>
        <w:rPr>
          <w:rFonts w:ascii="Times New Roman" w:hAnsi="Times New Roman" w:eastAsia="Times New Roman" w:cs="Times New Roman"/>
          <w:sz w:val="28"/>
          <w:szCs w:val="28"/>
          <w:lang w:eastAsia="ru-RU"/>
        </w:rPr>
        <w:t>Arch. Gynecol. Obstet. – 2018. – Т.297. – Б. 139–145.  DOI: 10.1007/s00404–017–4573–8</w:t>
      </w:r>
    </w:p>
    <w:p w14:paraId="68A1E740">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val="en-US" w:eastAsia="ru-RU"/>
        </w:rPr>
        <w:t xml:space="preserve"> Burkhardt R., Hämmerle, C.H.F., Lang N.P., Research Group on Oral Soft Tissue Biology &amp; Wound Healing. Self–Reported Pain Perception of Patients after Mucosal Graft Harvesting in the Palatal Area. J. Clin. </w:t>
      </w:r>
      <w:r>
        <w:rPr>
          <w:rFonts w:ascii="Times New Roman" w:hAnsi="Times New Roman" w:eastAsia="Times New Roman" w:cs="Times New Roman"/>
          <w:sz w:val="28"/>
          <w:szCs w:val="28"/>
          <w:lang w:eastAsia="ru-RU"/>
        </w:rPr>
        <w:t>Periodontol. – 2015. – Т.42. – Б. 281–287. DOI: 10.1111/jcpe.12357</w:t>
      </w:r>
    </w:p>
    <w:p w14:paraId="26318168">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val="en-US" w:eastAsia="ru-RU"/>
        </w:rPr>
        <w:t xml:space="preserve"> </w:t>
      </w:r>
      <w:bookmarkStart w:id="7" w:name="_Hlk163319466"/>
      <w:r>
        <w:rPr>
          <w:rFonts w:ascii="Times New Roman" w:hAnsi="Times New Roman" w:eastAsia="Times New Roman" w:cs="Times New Roman"/>
          <w:sz w:val="28"/>
          <w:szCs w:val="28"/>
          <w:lang w:val="en-US" w:eastAsia="ru-RU"/>
        </w:rPr>
        <w:t>Kinneret Tenenbaum–Gavish</w:t>
      </w:r>
      <w:bookmarkEnd w:id="7"/>
      <w:r>
        <w:rPr>
          <w:rFonts w:ascii="Times New Roman" w:hAnsi="Times New Roman" w:eastAsia="Times New Roman" w:cs="Times New Roman"/>
          <w:sz w:val="28"/>
          <w:szCs w:val="28"/>
          <w:lang w:val="en-US" w:eastAsia="ru-RU"/>
        </w:rPr>
        <w:t xml:space="preserve">, Moshe Hod; Impact of Maternal Obesity on Fetal Health. </w:t>
      </w:r>
      <w:r>
        <w:rPr>
          <w:rFonts w:ascii="Times New Roman" w:hAnsi="Times New Roman" w:eastAsia="Times New Roman" w:cs="Times New Roman"/>
          <w:sz w:val="28"/>
          <w:szCs w:val="28"/>
          <w:lang w:eastAsia="ru-RU"/>
        </w:rPr>
        <w:t xml:space="preserve">Fetal Diagn Ther 1 July. – 2013. – Т.34. –Б.1–7. </w:t>
      </w:r>
      <w:r>
        <w:fldChar w:fldCharType="begin"/>
      </w:r>
      <w:r>
        <w:instrText xml:space="preserve"> HYPERLINK "https://doi.org/10.1159/000350170" </w:instrText>
      </w:r>
      <w:r>
        <w:fldChar w:fldCharType="separate"/>
      </w:r>
      <w:r>
        <w:rPr>
          <w:rFonts w:ascii="Times New Roman" w:hAnsi="Times New Roman" w:eastAsia="Times New Roman" w:cs="Times New Roman"/>
          <w:color w:val="0000FF"/>
          <w:sz w:val="28"/>
          <w:szCs w:val="28"/>
          <w:u w:val="single"/>
          <w:lang w:eastAsia="ru-RU"/>
        </w:rPr>
        <w:t>DOI: 10.1159/000350170</w:t>
      </w:r>
      <w:r>
        <w:rPr>
          <w:rFonts w:ascii="Times New Roman" w:hAnsi="Times New Roman" w:eastAsia="Times New Roman" w:cs="Times New Roman"/>
          <w:color w:val="0000FF"/>
          <w:sz w:val="28"/>
          <w:szCs w:val="28"/>
          <w:u w:val="single"/>
          <w:lang w:eastAsia="ru-RU"/>
        </w:rPr>
        <w:fldChar w:fldCharType="end"/>
      </w:r>
      <w:r>
        <w:rPr>
          <w:rFonts w:ascii="Times New Roman" w:hAnsi="Times New Roman" w:eastAsia="Times New Roman" w:cs="Times New Roman"/>
          <w:sz w:val="28"/>
          <w:szCs w:val="28"/>
          <w:lang w:eastAsia="ru-RU"/>
        </w:rPr>
        <w:t xml:space="preserve">       </w:t>
      </w:r>
    </w:p>
    <w:p w14:paraId="543E2F9F">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 xml:space="preserve"> Ausk K.J., Ioannou G.N. Is obesity associated with anemia of chronic disease? A population</w:t>
      </w:r>
      <w:r>
        <w:rPr>
          <w:rFonts w:ascii="Times New Roman" w:hAnsi="Times New Roman" w:eastAsia="Times New Roman" w:cs="Times New Roman"/>
          <w:sz w:val="28"/>
          <w:szCs w:val="28"/>
          <w:lang w:val="en-US" w:eastAsia="ru-RU"/>
        </w:rPr>
        <w:noBreakHyphen/>
      </w:r>
      <w:r>
        <w:rPr>
          <w:rFonts w:ascii="Times New Roman" w:hAnsi="Times New Roman" w:eastAsia="Times New Roman" w:cs="Times New Roman"/>
          <w:sz w:val="28"/>
          <w:szCs w:val="28"/>
          <w:lang w:val="en-US" w:eastAsia="ru-RU"/>
        </w:rPr>
        <w:t xml:space="preserve">based study. Obesity (Silver Spring). – 2008. – </w:t>
      </w:r>
      <w:r>
        <w:rPr>
          <w:rFonts w:ascii="Times New Roman" w:hAnsi="Times New Roman" w:eastAsia="Times New Roman" w:cs="Times New Roman"/>
          <w:sz w:val="28"/>
          <w:szCs w:val="28"/>
          <w:lang w:eastAsia="ru-RU"/>
        </w:rPr>
        <w:t>Т</w:t>
      </w:r>
      <w:r>
        <w:rPr>
          <w:rFonts w:ascii="Times New Roman" w:hAnsi="Times New Roman" w:eastAsia="Times New Roman" w:cs="Times New Roman"/>
          <w:sz w:val="28"/>
          <w:szCs w:val="28"/>
          <w:lang w:val="en-US" w:eastAsia="ru-RU"/>
        </w:rPr>
        <w:t>.16. –</w:t>
      </w:r>
      <w:r>
        <w:rPr>
          <w:rFonts w:ascii="Times New Roman" w:hAnsi="Times New Roman" w:eastAsia="Times New Roman" w:cs="Times New Roman"/>
          <w:sz w:val="28"/>
          <w:szCs w:val="28"/>
          <w:lang w:eastAsia="ru-RU"/>
        </w:rPr>
        <w:t>Б</w:t>
      </w:r>
      <w:r>
        <w:rPr>
          <w:rFonts w:ascii="Times New Roman" w:hAnsi="Times New Roman" w:eastAsia="Times New Roman" w:cs="Times New Roman"/>
          <w:sz w:val="28"/>
          <w:szCs w:val="28"/>
          <w:lang w:val="en-US" w:eastAsia="ru-RU"/>
        </w:rPr>
        <w:t>.2356</w:t>
      </w:r>
      <w:r>
        <w:rPr>
          <w:rFonts w:ascii="Times New Roman" w:hAnsi="Times New Roman" w:eastAsia="Times New Roman" w:cs="Times New Roman"/>
          <w:sz w:val="28"/>
          <w:szCs w:val="28"/>
          <w:lang w:val="en-US" w:eastAsia="ru-RU"/>
        </w:rPr>
        <w:noBreakHyphen/>
      </w:r>
      <w:r>
        <w:rPr>
          <w:rFonts w:ascii="Times New Roman" w:hAnsi="Times New Roman" w:eastAsia="Times New Roman" w:cs="Times New Roman"/>
          <w:sz w:val="28"/>
          <w:szCs w:val="28"/>
          <w:lang w:val="en-US" w:eastAsia="ru-RU"/>
        </w:rPr>
        <w:t>61. DOI: 10.1038/oby.2008.353.</w:t>
      </w:r>
    </w:p>
    <w:p w14:paraId="70B5D37B">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 xml:space="preserve"> Del Giudice E.M., Santoro N., Amato A., Brienza C., Calabrò P., Wiegerinck E.T., et al. Hepcidin in obese children as a potential mediator of the association between obesity and iron deficiency. J Clin Endocrinol Metab. – 2009. – </w:t>
      </w:r>
      <w:r>
        <w:rPr>
          <w:rFonts w:ascii="Times New Roman" w:hAnsi="Times New Roman" w:eastAsia="Times New Roman" w:cs="Times New Roman"/>
          <w:sz w:val="28"/>
          <w:szCs w:val="28"/>
          <w:lang w:eastAsia="ru-RU"/>
        </w:rPr>
        <w:t>Т</w:t>
      </w:r>
      <w:r>
        <w:rPr>
          <w:rFonts w:ascii="Times New Roman" w:hAnsi="Times New Roman" w:eastAsia="Times New Roman" w:cs="Times New Roman"/>
          <w:sz w:val="28"/>
          <w:szCs w:val="28"/>
          <w:lang w:val="en-US" w:eastAsia="ru-RU"/>
        </w:rPr>
        <w:t xml:space="preserve">.94. – </w:t>
      </w:r>
      <w:r>
        <w:rPr>
          <w:rFonts w:ascii="Times New Roman" w:hAnsi="Times New Roman" w:eastAsia="Times New Roman" w:cs="Times New Roman"/>
          <w:sz w:val="28"/>
          <w:szCs w:val="28"/>
          <w:lang w:eastAsia="ru-RU"/>
        </w:rPr>
        <w:t>Б</w:t>
      </w:r>
      <w:r>
        <w:rPr>
          <w:rFonts w:ascii="Times New Roman" w:hAnsi="Times New Roman" w:eastAsia="Times New Roman" w:cs="Times New Roman"/>
          <w:sz w:val="28"/>
          <w:szCs w:val="28"/>
          <w:lang w:val="en-US" w:eastAsia="ru-RU"/>
        </w:rPr>
        <w:t>.5102</w:t>
      </w:r>
      <w:r>
        <w:rPr>
          <w:rFonts w:ascii="Times New Roman" w:hAnsi="Times New Roman" w:eastAsia="Times New Roman" w:cs="Times New Roman"/>
          <w:sz w:val="28"/>
          <w:szCs w:val="28"/>
          <w:lang w:val="en-US" w:eastAsia="ru-RU"/>
        </w:rPr>
        <w:noBreakHyphen/>
      </w:r>
      <w:r>
        <w:rPr>
          <w:rFonts w:ascii="Times New Roman" w:hAnsi="Times New Roman" w:eastAsia="Times New Roman" w:cs="Times New Roman"/>
          <w:sz w:val="28"/>
          <w:szCs w:val="28"/>
          <w:lang w:val="en-US" w:eastAsia="ru-RU"/>
        </w:rPr>
        <w:t>5107. DOI: 10.1210/jc.2009–1361</w:t>
      </w:r>
    </w:p>
    <w:p w14:paraId="0A7F0508">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Benoist B.D., McLean E., Egll I., Cogswell M. Worldwide Prevalence of Anaemia 1993</w:t>
      </w:r>
      <w:r>
        <w:rPr>
          <w:rFonts w:ascii="Times New Roman" w:hAnsi="Times New Roman" w:eastAsia="Times New Roman" w:cs="Times New Roman"/>
          <w:sz w:val="28"/>
          <w:szCs w:val="28"/>
          <w:lang w:val="en-US" w:eastAsia="ru-RU"/>
        </w:rPr>
        <w:noBreakHyphen/>
      </w:r>
      <w:r>
        <w:rPr>
          <w:rFonts w:ascii="Times New Roman" w:hAnsi="Times New Roman" w:eastAsia="Times New Roman" w:cs="Times New Roman"/>
          <w:sz w:val="28"/>
          <w:szCs w:val="28"/>
          <w:lang w:val="en-US" w:eastAsia="ru-RU"/>
        </w:rPr>
        <w:t>2005: WHO Global Database on Anaemia. Worldwide Prevalence of Anaemia 1993</w:t>
      </w:r>
      <w:r>
        <w:rPr>
          <w:rFonts w:ascii="Times New Roman" w:hAnsi="Times New Roman" w:eastAsia="Times New Roman" w:cs="Times New Roman"/>
          <w:sz w:val="28"/>
          <w:szCs w:val="28"/>
          <w:lang w:val="en-US" w:eastAsia="ru-RU"/>
        </w:rPr>
        <w:noBreakHyphen/>
      </w:r>
      <w:r>
        <w:rPr>
          <w:rFonts w:ascii="Times New Roman" w:hAnsi="Times New Roman" w:eastAsia="Times New Roman" w:cs="Times New Roman"/>
          <w:sz w:val="28"/>
          <w:szCs w:val="28"/>
          <w:lang w:val="en-US" w:eastAsia="ru-RU"/>
        </w:rPr>
        <w:t xml:space="preserve">2005: WHO Global Database on Anaemia.–2008. </w:t>
      </w:r>
      <w:r>
        <w:fldChar w:fldCharType="begin"/>
      </w:r>
      <w:r>
        <w:instrText xml:space="preserve"> HYPERLINK "https://www.who.int/publications/i/item/9789241596657" </w:instrText>
      </w:r>
      <w:r>
        <w:fldChar w:fldCharType="separate"/>
      </w:r>
      <w:r>
        <w:rPr>
          <w:rFonts w:ascii="Times New Roman" w:hAnsi="Times New Roman" w:eastAsia="等线 Light" w:cs="Times New Roman"/>
          <w:color w:val="0000FF"/>
          <w:sz w:val="28"/>
          <w:szCs w:val="28"/>
          <w:u w:val="single"/>
          <w:lang w:val="en-US" w:eastAsia="ru-RU"/>
        </w:rPr>
        <w:t>https://www.who.int/publications/i/item/9789241596657</w:t>
      </w:r>
      <w:r>
        <w:rPr>
          <w:rFonts w:ascii="Times New Roman" w:hAnsi="Times New Roman" w:eastAsia="等线 Light" w:cs="Times New Roman"/>
          <w:color w:val="0000FF"/>
          <w:sz w:val="28"/>
          <w:szCs w:val="28"/>
          <w:u w:val="single"/>
          <w:lang w:val="en-US" w:eastAsia="ru-RU"/>
        </w:rPr>
        <w:fldChar w:fldCharType="end"/>
      </w:r>
      <w:r>
        <w:rPr>
          <w:rFonts w:ascii="Times New Roman" w:hAnsi="Times New Roman" w:eastAsia="Times New Roman" w:cs="Times New Roman"/>
          <w:sz w:val="28"/>
          <w:szCs w:val="28"/>
          <w:lang w:val="en-US" w:eastAsia="ru-RU"/>
        </w:rPr>
        <w:t xml:space="preserve"> (</w:t>
      </w:r>
      <w:r>
        <w:rPr>
          <w:rFonts w:ascii="Times New Roman" w:hAnsi="Times New Roman" w:eastAsia="Times New Roman" w:cs="Times New Roman"/>
          <w:sz w:val="28"/>
          <w:szCs w:val="28"/>
          <w:lang w:eastAsia="ru-RU"/>
        </w:rPr>
        <w:t>қолданылған</w:t>
      </w:r>
      <w:r>
        <w:rPr>
          <w:rFonts w:ascii="Times New Roman" w:hAnsi="Times New Roman" w:eastAsia="Times New Roman" w:cs="Times New Roman"/>
          <w:sz w:val="28"/>
          <w:szCs w:val="28"/>
          <w:lang w:val="en-US" w:eastAsia="ru-RU"/>
        </w:rPr>
        <w:t xml:space="preserve"> </w:t>
      </w:r>
      <w:r>
        <w:rPr>
          <w:rFonts w:ascii="Times New Roman" w:hAnsi="Times New Roman" w:eastAsia="Times New Roman" w:cs="Times New Roman"/>
          <w:sz w:val="28"/>
          <w:szCs w:val="28"/>
          <w:lang w:eastAsia="ru-RU"/>
        </w:rPr>
        <w:t>күні</w:t>
      </w:r>
      <w:r>
        <w:rPr>
          <w:rFonts w:ascii="Times New Roman" w:hAnsi="Times New Roman" w:eastAsia="Times New Roman" w:cs="Times New Roman"/>
          <w:sz w:val="28"/>
          <w:szCs w:val="28"/>
          <w:lang w:val="en-US" w:eastAsia="ru-RU"/>
        </w:rPr>
        <w:t>: 30.05.2024</w:t>
      </w:r>
      <w:r>
        <w:rPr>
          <w:rFonts w:ascii="Times New Roman" w:hAnsi="Times New Roman" w:eastAsia="Times New Roman" w:cs="Times New Roman"/>
          <w:sz w:val="28"/>
          <w:szCs w:val="28"/>
          <w:lang w:eastAsia="ru-RU"/>
        </w:rPr>
        <w:t>ж</w:t>
      </w:r>
      <w:r>
        <w:rPr>
          <w:rFonts w:ascii="Times New Roman" w:hAnsi="Times New Roman" w:eastAsia="Times New Roman" w:cs="Times New Roman"/>
          <w:sz w:val="28"/>
          <w:szCs w:val="28"/>
          <w:lang w:val="en-US" w:eastAsia="ru-RU"/>
        </w:rPr>
        <w:t>).</w:t>
      </w:r>
    </w:p>
    <w:p w14:paraId="45F0B463">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val="en-US" w:eastAsia="ru-RU"/>
        </w:rPr>
        <w:t xml:space="preserve"> Zekanowska E., Boinska J., Giemza</w:t>
      </w:r>
      <w:r>
        <w:rPr>
          <w:rFonts w:ascii="Times New Roman" w:hAnsi="Times New Roman" w:eastAsia="Times New Roman" w:cs="Times New Roman"/>
          <w:sz w:val="28"/>
          <w:szCs w:val="28"/>
          <w:lang w:val="en-US" w:eastAsia="ru-RU"/>
        </w:rPr>
        <w:noBreakHyphen/>
      </w:r>
      <w:r>
        <w:rPr>
          <w:rFonts w:ascii="Times New Roman" w:hAnsi="Times New Roman" w:eastAsia="Times New Roman" w:cs="Times New Roman"/>
          <w:sz w:val="28"/>
          <w:szCs w:val="28"/>
          <w:lang w:val="en-US" w:eastAsia="ru-RU"/>
        </w:rPr>
        <w:t xml:space="preserve">Kucharska P., Kwapisz J., Obesity and iron metabolism. </w:t>
      </w:r>
      <w:r>
        <w:rPr>
          <w:rFonts w:ascii="Times New Roman" w:hAnsi="Times New Roman" w:eastAsia="Times New Roman" w:cs="Times New Roman"/>
          <w:sz w:val="28"/>
          <w:szCs w:val="28"/>
          <w:lang w:eastAsia="ru-RU"/>
        </w:rPr>
        <w:t>BioTechnol J Biotechnol Comput Biol Bionanotechnol. – 2011. – Т.92. – Б. 147</w:t>
      </w:r>
      <w:r>
        <w:rPr>
          <w:rFonts w:ascii="Times New Roman" w:hAnsi="Times New Roman" w:eastAsia="Times New Roman" w:cs="Times New Roman"/>
          <w:sz w:val="28"/>
          <w:szCs w:val="28"/>
          <w:lang w:eastAsia="ru-RU"/>
        </w:rPr>
        <w:noBreakHyphen/>
      </w:r>
      <w:r>
        <w:rPr>
          <w:rFonts w:ascii="Times New Roman" w:hAnsi="Times New Roman" w:eastAsia="Times New Roman" w:cs="Times New Roman"/>
          <w:sz w:val="28"/>
          <w:szCs w:val="28"/>
          <w:lang w:eastAsia="ru-RU"/>
        </w:rPr>
        <w:t>152.</w:t>
      </w:r>
    </w:p>
    <w:p w14:paraId="3E450172">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val="en-US" w:eastAsia="ru-RU"/>
        </w:rPr>
        <w:t xml:space="preserve"> Low S., Chin M.C., Deurenberg</w:t>
      </w:r>
      <w:r>
        <w:rPr>
          <w:rFonts w:ascii="Times New Roman" w:hAnsi="Times New Roman" w:eastAsia="Times New Roman" w:cs="Times New Roman"/>
          <w:sz w:val="28"/>
          <w:szCs w:val="28"/>
          <w:lang w:val="en-US" w:eastAsia="ru-RU"/>
        </w:rPr>
        <w:noBreakHyphen/>
      </w:r>
      <w:r>
        <w:rPr>
          <w:rFonts w:ascii="Times New Roman" w:hAnsi="Times New Roman" w:eastAsia="Times New Roman" w:cs="Times New Roman"/>
          <w:sz w:val="28"/>
          <w:szCs w:val="28"/>
          <w:lang w:val="en-US" w:eastAsia="ru-RU"/>
        </w:rPr>
        <w:t xml:space="preserve">Yap M. Review on epidemic of obesity. </w:t>
      </w:r>
      <w:r>
        <w:rPr>
          <w:rFonts w:ascii="Times New Roman" w:hAnsi="Times New Roman" w:eastAsia="Times New Roman" w:cs="Times New Roman"/>
          <w:sz w:val="28"/>
          <w:szCs w:val="28"/>
          <w:lang w:eastAsia="ru-RU"/>
        </w:rPr>
        <w:t>Ann Acad Med Singapore. – 2009. – Т.38. – Б.57</w:t>
      </w:r>
      <w:r>
        <w:rPr>
          <w:rFonts w:ascii="Times New Roman" w:hAnsi="Times New Roman" w:eastAsia="Times New Roman" w:cs="Times New Roman"/>
          <w:sz w:val="28"/>
          <w:szCs w:val="28"/>
          <w:lang w:eastAsia="ru-RU"/>
        </w:rPr>
        <w:noBreakHyphen/>
      </w:r>
      <w:r>
        <w:rPr>
          <w:rFonts w:ascii="Times New Roman" w:hAnsi="Times New Roman" w:eastAsia="Times New Roman" w:cs="Times New Roman"/>
          <w:sz w:val="28"/>
          <w:szCs w:val="28"/>
          <w:lang w:eastAsia="ru-RU"/>
        </w:rPr>
        <w:t>59.</w:t>
      </w:r>
    </w:p>
    <w:p w14:paraId="78555731">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 xml:space="preserve"> Ribot B., Ruiz</w:t>
      </w:r>
      <w:r>
        <w:rPr>
          <w:rFonts w:ascii="Times New Roman" w:hAnsi="Times New Roman" w:eastAsia="Times New Roman" w:cs="Times New Roman"/>
          <w:sz w:val="28"/>
          <w:szCs w:val="28"/>
          <w:lang w:val="en-US" w:eastAsia="ru-RU"/>
        </w:rPr>
        <w:noBreakHyphen/>
      </w:r>
      <w:r>
        <w:rPr>
          <w:rFonts w:ascii="Times New Roman" w:hAnsi="Times New Roman" w:eastAsia="Times New Roman" w:cs="Times New Roman"/>
          <w:sz w:val="28"/>
          <w:szCs w:val="28"/>
          <w:lang w:val="en-US" w:eastAsia="ru-RU"/>
        </w:rPr>
        <w:t xml:space="preserve">Díez F., Abajo S., March G., Fargas F., Arija V., et al. Prevalence of anaemia, risk of haemoconcentration and risk factors during the three trimesters of pregnancy. Nutr Hosp. – 2018. – </w:t>
      </w:r>
      <w:r>
        <w:rPr>
          <w:rFonts w:ascii="Times New Roman" w:hAnsi="Times New Roman" w:eastAsia="Times New Roman" w:cs="Times New Roman"/>
          <w:sz w:val="28"/>
          <w:szCs w:val="28"/>
          <w:lang w:eastAsia="ru-RU"/>
        </w:rPr>
        <w:t>Т</w:t>
      </w:r>
      <w:r>
        <w:rPr>
          <w:rFonts w:ascii="Times New Roman" w:hAnsi="Times New Roman" w:eastAsia="Times New Roman" w:cs="Times New Roman"/>
          <w:sz w:val="28"/>
          <w:szCs w:val="28"/>
          <w:lang w:val="en-US" w:eastAsia="ru-RU"/>
        </w:rPr>
        <w:t>.35.-</w:t>
      </w:r>
      <w:r>
        <w:rPr>
          <w:rFonts w:ascii="Times New Roman" w:hAnsi="Times New Roman" w:eastAsia="Times New Roman" w:cs="Times New Roman"/>
          <w:sz w:val="28"/>
          <w:szCs w:val="28"/>
          <w:lang w:eastAsia="ru-RU"/>
        </w:rPr>
        <w:t>Б</w:t>
      </w:r>
      <w:r>
        <w:rPr>
          <w:rFonts w:ascii="Times New Roman" w:hAnsi="Times New Roman" w:eastAsia="Times New Roman" w:cs="Times New Roman"/>
          <w:sz w:val="28"/>
          <w:szCs w:val="28"/>
          <w:lang w:val="en-US" w:eastAsia="ru-RU"/>
        </w:rPr>
        <w:t>.123</w:t>
      </w:r>
      <w:r>
        <w:rPr>
          <w:rFonts w:ascii="Times New Roman" w:hAnsi="Times New Roman" w:eastAsia="Times New Roman" w:cs="Times New Roman"/>
          <w:sz w:val="28"/>
          <w:szCs w:val="28"/>
          <w:lang w:val="en-US" w:eastAsia="ru-RU"/>
        </w:rPr>
        <w:noBreakHyphen/>
      </w:r>
      <w:r>
        <w:rPr>
          <w:rFonts w:ascii="Times New Roman" w:hAnsi="Times New Roman" w:eastAsia="Times New Roman" w:cs="Times New Roman"/>
          <w:sz w:val="28"/>
          <w:szCs w:val="28"/>
          <w:lang w:val="en-US" w:eastAsia="ru-RU"/>
        </w:rPr>
        <w:t>130. DOI: 10.20960/nh.1045</w:t>
      </w:r>
    </w:p>
    <w:p w14:paraId="7CFED866">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 xml:space="preserve"> Habib M.A., Raynes</w:t>
      </w:r>
      <w:r>
        <w:rPr>
          <w:rFonts w:ascii="Times New Roman" w:hAnsi="Times New Roman" w:eastAsia="Times New Roman" w:cs="Times New Roman"/>
          <w:sz w:val="28"/>
          <w:szCs w:val="28"/>
          <w:lang w:val="en-US" w:eastAsia="ru-RU"/>
        </w:rPr>
        <w:noBreakHyphen/>
      </w:r>
      <w:r>
        <w:rPr>
          <w:rFonts w:ascii="Times New Roman" w:hAnsi="Times New Roman" w:eastAsia="Times New Roman" w:cs="Times New Roman"/>
          <w:sz w:val="28"/>
          <w:szCs w:val="28"/>
          <w:lang w:val="en-US" w:eastAsia="ru-RU"/>
        </w:rPr>
        <w:t>Greenow C., Soofi S.B., Ali N., Nausheen S., Ahmed I., et al. Prevalence and determinants of iron deficiency anemia among non</w:t>
      </w:r>
      <w:r>
        <w:rPr>
          <w:rFonts w:ascii="Times New Roman" w:hAnsi="Times New Roman" w:eastAsia="Times New Roman" w:cs="Times New Roman"/>
          <w:sz w:val="28"/>
          <w:szCs w:val="28"/>
          <w:lang w:val="en-US" w:eastAsia="ru-RU"/>
        </w:rPr>
        <w:noBreakHyphen/>
      </w:r>
      <w:r>
        <w:rPr>
          <w:rFonts w:ascii="Times New Roman" w:hAnsi="Times New Roman" w:eastAsia="Times New Roman" w:cs="Times New Roman"/>
          <w:sz w:val="28"/>
          <w:szCs w:val="28"/>
          <w:lang w:val="en-US" w:eastAsia="ru-RU"/>
        </w:rPr>
        <w:t xml:space="preserve">pregnant women of reproductive age in Pakistan. Asia Pac J Clin Nutr. – 2018. – </w:t>
      </w:r>
      <w:r>
        <w:rPr>
          <w:rFonts w:ascii="Times New Roman" w:hAnsi="Times New Roman" w:eastAsia="Times New Roman" w:cs="Times New Roman"/>
          <w:sz w:val="28"/>
          <w:szCs w:val="28"/>
          <w:lang w:eastAsia="ru-RU"/>
        </w:rPr>
        <w:t>Т</w:t>
      </w:r>
      <w:r>
        <w:rPr>
          <w:rFonts w:ascii="Times New Roman" w:hAnsi="Times New Roman" w:eastAsia="Times New Roman" w:cs="Times New Roman"/>
          <w:sz w:val="28"/>
          <w:szCs w:val="28"/>
          <w:lang w:val="en-US" w:eastAsia="ru-RU"/>
        </w:rPr>
        <w:t xml:space="preserve">.27. – </w:t>
      </w:r>
      <w:r>
        <w:rPr>
          <w:rFonts w:ascii="Times New Roman" w:hAnsi="Times New Roman" w:eastAsia="Times New Roman" w:cs="Times New Roman"/>
          <w:sz w:val="28"/>
          <w:szCs w:val="28"/>
          <w:lang w:eastAsia="ru-RU"/>
        </w:rPr>
        <w:t>Б</w:t>
      </w:r>
      <w:r>
        <w:rPr>
          <w:rFonts w:ascii="Times New Roman" w:hAnsi="Times New Roman" w:eastAsia="Times New Roman" w:cs="Times New Roman"/>
          <w:sz w:val="28"/>
          <w:szCs w:val="28"/>
          <w:lang w:val="en-US" w:eastAsia="ru-RU"/>
        </w:rPr>
        <w:t>. 195</w:t>
      </w:r>
      <w:r>
        <w:rPr>
          <w:rFonts w:ascii="Times New Roman" w:hAnsi="Times New Roman" w:eastAsia="Times New Roman" w:cs="Times New Roman"/>
          <w:sz w:val="28"/>
          <w:szCs w:val="28"/>
          <w:lang w:val="en-US" w:eastAsia="ru-RU"/>
        </w:rPr>
        <w:noBreakHyphen/>
      </w:r>
      <w:r>
        <w:rPr>
          <w:rFonts w:ascii="Times New Roman" w:hAnsi="Times New Roman" w:eastAsia="Times New Roman" w:cs="Times New Roman"/>
          <w:sz w:val="28"/>
          <w:szCs w:val="28"/>
          <w:lang w:val="en-US" w:eastAsia="ru-RU"/>
        </w:rPr>
        <w:t>203. DOI: 10.6133/apjcn.042017.14</w:t>
      </w:r>
    </w:p>
    <w:p w14:paraId="57C0CCF2">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val="en-US" w:eastAsia="ru-RU"/>
        </w:rPr>
        <w:t xml:space="preserve"> Bodnar. L.M., Siega–Riz A.M., Miller W.C., Cogswell M.E., McDonald T. Who should be screened for postpartum anemia? An evaluation of current recommendations. Am. J. Epidemiol. – 2002. – </w:t>
      </w:r>
      <w:r>
        <w:rPr>
          <w:rFonts w:ascii="Times New Roman" w:hAnsi="Times New Roman" w:eastAsia="Times New Roman" w:cs="Times New Roman"/>
          <w:sz w:val="28"/>
          <w:szCs w:val="28"/>
          <w:lang w:eastAsia="ru-RU"/>
        </w:rPr>
        <w:t>Т</w:t>
      </w:r>
      <w:r>
        <w:rPr>
          <w:rFonts w:ascii="Times New Roman" w:hAnsi="Times New Roman" w:eastAsia="Times New Roman" w:cs="Times New Roman"/>
          <w:sz w:val="28"/>
          <w:szCs w:val="28"/>
          <w:lang w:val="en-US" w:eastAsia="ru-RU"/>
        </w:rPr>
        <w:t xml:space="preserve">. 156. – P. 903–912. </w:t>
      </w:r>
      <w:r>
        <w:rPr>
          <w:rFonts w:ascii="Times New Roman" w:hAnsi="Times New Roman" w:eastAsia="Times New Roman" w:cs="Times New Roman"/>
          <w:sz w:val="28"/>
          <w:szCs w:val="28"/>
          <w:lang w:eastAsia="ru-RU"/>
        </w:rPr>
        <w:t>DOI: 10.1093/aje/kwf134</w:t>
      </w:r>
    </w:p>
    <w:p w14:paraId="1A833E8D">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val="en-US" w:eastAsia="ru-RU"/>
        </w:rPr>
        <w:t xml:space="preserve">Bodnar L.M., Scanlon K.S., Freedman D.S., Siega–Riz A.M., Cogswell M.E. High prevalence of postpartum anemia among low–income women in the United States // Am. J. Obstet. </w:t>
      </w:r>
      <w:r>
        <w:rPr>
          <w:rFonts w:ascii="Times New Roman" w:hAnsi="Times New Roman" w:eastAsia="Times New Roman" w:cs="Times New Roman"/>
          <w:sz w:val="28"/>
          <w:szCs w:val="28"/>
          <w:lang w:eastAsia="ru-RU"/>
        </w:rPr>
        <w:t>Gynecol. — 2001. — Т. 185. — Б. 438–443. DOI: 10.1067/mob.2001.115996.</w:t>
      </w:r>
    </w:p>
    <w:p w14:paraId="38036A82">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val="en-US" w:eastAsia="ru-RU"/>
        </w:rPr>
        <w:t xml:space="preserve">Bodnar L.M., Siega–Riz A.M., Cogswell M.E. High Prepregnancy BMI Increases the Risk of Postpartum Anemia // Obes. Res. — 2004. — </w:t>
      </w:r>
      <w:r>
        <w:rPr>
          <w:rFonts w:ascii="Times New Roman" w:hAnsi="Times New Roman" w:eastAsia="Times New Roman" w:cs="Times New Roman"/>
          <w:sz w:val="28"/>
          <w:szCs w:val="28"/>
          <w:lang w:eastAsia="ru-RU"/>
        </w:rPr>
        <w:t>Т</w:t>
      </w:r>
      <w:r>
        <w:rPr>
          <w:rFonts w:ascii="Times New Roman" w:hAnsi="Times New Roman" w:eastAsia="Times New Roman" w:cs="Times New Roman"/>
          <w:sz w:val="28"/>
          <w:szCs w:val="28"/>
          <w:lang w:val="en-US" w:eastAsia="ru-RU"/>
        </w:rPr>
        <w:t xml:space="preserve">. 12. — </w:t>
      </w:r>
      <w:r>
        <w:rPr>
          <w:rFonts w:ascii="Times New Roman" w:hAnsi="Times New Roman" w:eastAsia="Times New Roman" w:cs="Times New Roman"/>
          <w:sz w:val="28"/>
          <w:szCs w:val="28"/>
          <w:lang w:eastAsia="ru-RU"/>
        </w:rPr>
        <w:t>Б</w:t>
      </w:r>
      <w:r>
        <w:rPr>
          <w:rFonts w:ascii="Times New Roman" w:hAnsi="Times New Roman" w:eastAsia="Times New Roman" w:cs="Times New Roman"/>
          <w:sz w:val="28"/>
          <w:szCs w:val="28"/>
          <w:lang w:val="en-US" w:eastAsia="ru-RU"/>
        </w:rPr>
        <w:t xml:space="preserve">. 941–948. </w:t>
      </w:r>
      <w:r>
        <w:rPr>
          <w:rFonts w:ascii="Times New Roman" w:hAnsi="Times New Roman" w:eastAsia="Times New Roman" w:cs="Times New Roman"/>
          <w:sz w:val="28"/>
          <w:szCs w:val="28"/>
          <w:lang w:eastAsia="ru-RU"/>
        </w:rPr>
        <w:t>DOI: 10.1038/oby.2004.115.</w:t>
      </w:r>
    </w:p>
    <w:p w14:paraId="7619DB69">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val="en-US" w:eastAsia="ru-RU"/>
        </w:rPr>
        <w:t xml:space="preserve">Dao M.C., Sen S., Iyer C., Klebenov D., Meydani S.N. Obesity during pregnancy and fetal iron status: Is Hepcidin the link? // J. Perinatol. — 2013. — </w:t>
      </w:r>
      <w:r>
        <w:rPr>
          <w:rFonts w:ascii="Times New Roman" w:hAnsi="Times New Roman" w:eastAsia="Times New Roman" w:cs="Times New Roman"/>
          <w:sz w:val="28"/>
          <w:szCs w:val="28"/>
          <w:lang w:eastAsia="ru-RU"/>
        </w:rPr>
        <w:t>Т</w:t>
      </w:r>
      <w:r>
        <w:rPr>
          <w:rFonts w:ascii="Times New Roman" w:hAnsi="Times New Roman" w:eastAsia="Times New Roman" w:cs="Times New Roman"/>
          <w:sz w:val="28"/>
          <w:szCs w:val="28"/>
          <w:lang w:val="en-US" w:eastAsia="ru-RU"/>
        </w:rPr>
        <w:t xml:space="preserve">. 33. — </w:t>
      </w:r>
      <w:r>
        <w:rPr>
          <w:rFonts w:ascii="Times New Roman" w:hAnsi="Times New Roman" w:eastAsia="Times New Roman" w:cs="Times New Roman"/>
          <w:sz w:val="28"/>
          <w:szCs w:val="28"/>
          <w:lang w:eastAsia="ru-RU"/>
        </w:rPr>
        <w:t>Б</w:t>
      </w:r>
      <w:r>
        <w:rPr>
          <w:rFonts w:ascii="Times New Roman" w:hAnsi="Times New Roman" w:eastAsia="Times New Roman" w:cs="Times New Roman"/>
          <w:sz w:val="28"/>
          <w:szCs w:val="28"/>
          <w:lang w:val="en-US" w:eastAsia="ru-RU"/>
        </w:rPr>
        <w:t xml:space="preserve">. 177–181. </w:t>
      </w:r>
      <w:r>
        <w:rPr>
          <w:rFonts w:ascii="Times New Roman" w:hAnsi="Times New Roman" w:eastAsia="Times New Roman" w:cs="Times New Roman"/>
          <w:sz w:val="28"/>
          <w:szCs w:val="28"/>
          <w:lang w:eastAsia="ru-RU"/>
        </w:rPr>
        <w:t>DOI: 10.1038/jp.2012.81.</w:t>
      </w:r>
    </w:p>
    <w:p w14:paraId="59033158">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val="en-US" w:eastAsia="ru-RU"/>
        </w:rPr>
        <w:t xml:space="preserve">Chung B., Matak P., McKie A.T., Sharp P. Leptin Increases the Expression of the Iron Regulatory Hormone Hepcidin in HuH7 Human Hepatoma Cells // J. Nutr. — 2007. — </w:t>
      </w:r>
      <w:r>
        <w:rPr>
          <w:rFonts w:ascii="Times New Roman" w:hAnsi="Times New Roman" w:eastAsia="Times New Roman" w:cs="Times New Roman"/>
          <w:sz w:val="28"/>
          <w:szCs w:val="28"/>
          <w:lang w:eastAsia="ru-RU"/>
        </w:rPr>
        <w:t>Т</w:t>
      </w:r>
      <w:r>
        <w:rPr>
          <w:rFonts w:ascii="Times New Roman" w:hAnsi="Times New Roman" w:eastAsia="Times New Roman" w:cs="Times New Roman"/>
          <w:sz w:val="28"/>
          <w:szCs w:val="28"/>
          <w:lang w:val="en-US" w:eastAsia="ru-RU"/>
        </w:rPr>
        <w:t xml:space="preserve">. 137. — </w:t>
      </w:r>
      <w:r>
        <w:rPr>
          <w:rFonts w:ascii="Times New Roman" w:hAnsi="Times New Roman" w:eastAsia="Times New Roman" w:cs="Times New Roman"/>
          <w:sz w:val="28"/>
          <w:szCs w:val="28"/>
          <w:lang w:eastAsia="ru-RU"/>
        </w:rPr>
        <w:t>Б</w:t>
      </w:r>
      <w:r>
        <w:rPr>
          <w:rFonts w:ascii="Times New Roman" w:hAnsi="Times New Roman" w:eastAsia="Times New Roman" w:cs="Times New Roman"/>
          <w:sz w:val="28"/>
          <w:szCs w:val="28"/>
          <w:lang w:val="en-US" w:eastAsia="ru-RU"/>
        </w:rPr>
        <w:t xml:space="preserve">. 2366–2370. </w:t>
      </w:r>
      <w:r>
        <w:rPr>
          <w:rFonts w:ascii="Times New Roman" w:hAnsi="Times New Roman" w:eastAsia="Times New Roman" w:cs="Times New Roman"/>
          <w:sz w:val="28"/>
          <w:szCs w:val="28"/>
          <w:lang w:eastAsia="ru-RU"/>
        </w:rPr>
        <w:t>DOI: 10.1093/jn/137.11.2366.</w:t>
      </w:r>
    </w:p>
    <w:p w14:paraId="6A88F3E1">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 xml:space="preserve">Weiss G., Goodnough L.T. Anemia of Chronic Disease // N. Engl. J. Med. — 2005. — </w:t>
      </w:r>
      <w:r>
        <w:rPr>
          <w:rFonts w:ascii="Times New Roman" w:hAnsi="Times New Roman" w:eastAsia="Times New Roman" w:cs="Times New Roman"/>
          <w:sz w:val="28"/>
          <w:szCs w:val="28"/>
          <w:lang w:eastAsia="ru-RU"/>
        </w:rPr>
        <w:t>Т</w:t>
      </w:r>
      <w:r>
        <w:rPr>
          <w:rFonts w:ascii="Times New Roman" w:hAnsi="Times New Roman" w:eastAsia="Times New Roman" w:cs="Times New Roman"/>
          <w:sz w:val="28"/>
          <w:szCs w:val="28"/>
          <w:lang w:val="en-US" w:eastAsia="ru-RU"/>
        </w:rPr>
        <w:t xml:space="preserve">. 352. — </w:t>
      </w:r>
      <w:r>
        <w:rPr>
          <w:rFonts w:ascii="Times New Roman" w:hAnsi="Times New Roman" w:eastAsia="Times New Roman" w:cs="Times New Roman"/>
          <w:sz w:val="28"/>
          <w:szCs w:val="28"/>
          <w:lang w:eastAsia="ru-RU"/>
        </w:rPr>
        <w:t>Б</w:t>
      </w:r>
      <w:r>
        <w:rPr>
          <w:rFonts w:ascii="Times New Roman" w:hAnsi="Times New Roman" w:eastAsia="Times New Roman" w:cs="Times New Roman"/>
          <w:sz w:val="28"/>
          <w:szCs w:val="28"/>
          <w:lang w:val="en-US" w:eastAsia="ru-RU"/>
        </w:rPr>
        <w:t>. 1011–1023.</w:t>
      </w:r>
    </w:p>
    <w:p w14:paraId="2300E2B2">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val="en-US" w:eastAsia="ru-RU"/>
        </w:rPr>
        <w:t xml:space="preserve">Nemeth E., Tuttle M.S., Powelson J., Vaughn M.B., Donovan A., Ward D.M., Ganz T., Kaplan J. Hepcidin Regulates Cellular Iron Efflux by Binding to Ferroportin and Inducing Its Internalization // Science. — 2004. — </w:t>
      </w:r>
      <w:r>
        <w:rPr>
          <w:rFonts w:ascii="Times New Roman" w:hAnsi="Times New Roman" w:eastAsia="Times New Roman" w:cs="Times New Roman"/>
          <w:sz w:val="28"/>
          <w:szCs w:val="28"/>
          <w:lang w:eastAsia="ru-RU"/>
        </w:rPr>
        <w:t>Т</w:t>
      </w:r>
      <w:r>
        <w:rPr>
          <w:rFonts w:ascii="Times New Roman" w:hAnsi="Times New Roman" w:eastAsia="Times New Roman" w:cs="Times New Roman"/>
          <w:sz w:val="28"/>
          <w:szCs w:val="28"/>
          <w:lang w:val="en-US" w:eastAsia="ru-RU"/>
        </w:rPr>
        <w:t xml:space="preserve">. 306. — </w:t>
      </w:r>
      <w:r>
        <w:rPr>
          <w:rFonts w:ascii="Times New Roman" w:hAnsi="Times New Roman" w:eastAsia="Times New Roman" w:cs="Times New Roman"/>
          <w:sz w:val="28"/>
          <w:szCs w:val="28"/>
          <w:lang w:eastAsia="ru-RU"/>
        </w:rPr>
        <w:t>Б</w:t>
      </w:r>
      <w:r>
        <w:rPr>
          <w:rFonts w:ascii="Times New Roman" w:hAnsi="Times New Roman" w:eastAsia="Times New Roman" w:cs="Times New Roman"/>
          <w:sz w:val="28"/>
          <w:szCs w:val="28"/>
          <w:lang w:val="en-US" w:eastAsia="ru-RU"/>
        </w:rPr>
        <w:t xml:space="preserve">. 2090–2093. </w:t>
      </w:r>
      <w:r>
        <w:rPr>
          <w:rFonts w:ascii="Times New Roman" w:hAnsi="Times New Roman" w:eastAsia="Times New Roman" w:cs="Times New Roman"/>
          <w:sz w:val="28"/>
          <w:szCs w:val="28"/>
          <w:lang w:eastAsia="ru-RU"/>
        </w:rPr>
        <w:t>DOI: 10.1126/science.1104742.</w:t>
      </w:r>
    </w:p>
    <w:p w14:paraId="740585FA">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val="en-US" w:eastAsia="ru-RU"/>
        </w:rPr>
        <w:t xml:space="preserve">Nemeth E., Ganz T. Anemia of Inflammation // Hematol. Oncol. Clin. N. Am. — 2014. — </w:t>
      </w:r>
      <w:r>
        <w:rPr>
          <w:rFonts w:ascii="Times New Roman" w:hAnsi="Times New Roman" w:eastAsia="Times New Roman" w:cs="Times New Roman"/>
          <w:sz w:val="28"/>
          <w:szCs w:val="28"/>
          <w:lang w:eastAsia="ru-RU"/>
        </w:rPr>
        <w:t>Т</w:t>
      </w:r>
      <w:r>
        <w:rPr>
          <w:rFonts w:ascii="Times New Roman" w:hAnsi="Times New Roman" w:eastAsia="Times New Roman" w:cs="Times New Roman"/>
          <w:sz w:val="28"/>
          <w:szCs w:val="28"/>
          <w:lang w:val="en-US" w:eastAsia="ru-RU"/>
        </w:rPr>
        <w:t xml:space="preserve">. 28. — </w:t>
      </w:r>
      <w:r>
        <w:rPr>
          <w:rFonts w:ascii="Times New Roman" w:hAnsi="Times New Roman" w:eastAsia="Times New Roman" w:cs="Times New Roman"/>
          <w:sz w:val="28"/>
          <w:szCs w:val="28"/>
          <w:lang w:eastAsia="ru-RU"/>
        </w:rPr>
        <w:t>Б</w:t>
      </w:r>
      <w:r>
        <w:rPr>
          <w:rFonts w:ascii="Times New Roman" w:hAnsi="Times New Roman" w:eastAsia="Times New Roman" w:cs="Times New Roman"/>
          <w:sz w:val="28"/>
          <w:szCs w:val="28"/>
          <w:lang w:val="en-US" w:eastAsia="ru-RU"/>
        </w:rPr>
        <w:t xml:space="preserve">. 671–681. </w:t>
      </w:r>
      <w:r>
        <w:rPr>
          <w:rFonts w:ascii="Times New Roman" w:hAnsi="Times New Roman" w:eastAsia="Times New Roman" w:cs="Times New Roman"/>
          <w:sz w:val="28"/>
          <w:szCs w:val="28"/>
          <w:lang w:eastAsia="ru-RU"/>
        </w:rPr>
        <w:t>DOI: 10.1016/j.hoc.2014.04.005.</w:t>
      </w:r>
    </w:p>
    <w:p w14:paraId="12F1B452">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val="en-US" w:eastAsia="ru-RU"/>
        </w:rPr>
        <w:t xml:space="preserve">Kautz L., Jung G., Valore E.V., Rivella S., Nemeth E., Ganz T. Identification of erythroferrone as an erythroid regulator of iron metabolism // Nat. </w:t>
      </w:r>
      <w:r>
        <w:rPr>
          <w:rFonts w:ascii="Times New Roman" w:hAnsi="Times New Roman" w:eastAsia="Times New Roman" w:cs="Times New Roman"/>
          <w:sz w:val="28"/>
          <w:szCs w:val="28"/>
          <w:lang w:eastAsia="ru-RU"/>
        </w:rPr>
        <w:t>Genet. — 2014. — Т. 46. — Б. 678–684. DOI: 10.1038/ng.2996.</w:t>
      </w:r>
    </w:p>
    <w:p w14:paraId="5D9F61DD">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val="en-US" w:eastAsia="ru-RU"/>
        </w:rPr>
        <w:t xml:space="preserve">Srole D.N., Ganz T. Erythroferrone structure, function, and physiology: Iron homeostasis and beyond // J. Cell. </w:t>
      </w:r>
      <w:r>
        <w:rPr>
          <w:rFonts w:ascii="Times New Roman" w:hAnsi="Times New Roman" w:eastAsia="Times New Roman" w:cs="Times New Roman"/>
          <w:sz w:val="28"/>
          <w:szCs w:val="28"/>
          <w:lang w:eastAsia="ru-RU"/>
        </w:rPr>
        <w:t>Physiol. — 2021. — Т. 236. — Б. 4888–4901. DOI: 10.1002/jcp.30247.</w:t>
      </w:r>
    </w:p>
    <w:p w14:paraId="467A3E57">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val="en-US" w:eastAsia="ru-RU"/>
        </w:rPr>
        <w:t xml:space="preserve">Yudkin J.S., Stehouwer C.D.A., Emeis J.J., Coppack S.W. C–Reactive Protein in Healthy Subjects: Associations with Obesity, Insulin Resistance, and Endothelial Dysfunction: A Potential Role for Cytokines Originating From Adipose Tissue // Arterioscler. </w:t>
      </w:r>
      <w:r>
        <w:rPr>
          <w:rFonts w:ascii="Times New Roman" w:hAnsi="Times New Roman" w:eastAsia="Times New Roman" w:cs="Times New Roman"/>
          <w:sz w:val="28"/>
          <w:szCs w:val="28"/>
          <w:lang w:eastAsia="ru-RU"/>
        </w:rPr>
        <w:t>Thromb. Vasc. Biol. — 1999. — Т. 19. — Б. 972–978. DOI: 10.1161/01.atv.19.4.972.</w:t>
      </w:r>
    </w:p>
    <w:p w14:paraId="5AB66E63">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val="en-US" w:eastAsia="ru-RU"/>
        </w:rPr>
        <w:t xml:space="preserve">Mohamed–Ali V., Goodrick S., Rawesh A., Katz D.R., Miles J.M., Yudkin J.S., Klein S., Coppack S.W. Subcutaneous adipose tissue releases interleukin–6, but not tumor necrosis factor–alpha, in vivo // J. Clin. </w:t>
      </w:r>
      <w:r>
        <w:rPr>
          <w:rFonts w:ascii="Times New Roman" w:hAnsi="Times New Roman" w:eastAsia="Times New Roman" w:cs="Times New Roman"/>
          <w:sz w:val="28"/>
          <w:szCs w:val="28"/>
          <w:lang w:eastAsia="ru-RU"/>
        </w:rPr>
        <w:t>Endocrinol. Metab. — 1997. — Vol. 82. — P. 4196–4200.</w:t>
      </w:r>
    </w:p>
    <w:p w14:paraId="23B5C38D">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val="en-US" w:eastAsia="ru-RU"/>
        </w:rPr>
        <w:t xml:space="preserve">Wrighting D.M., Andrews N.C. Interleukin–6 induces hepcidin expression through STAT3 // Blood. — 2006. — </w:t>
      </w:r>
      <w:r>
        <w:rPr>
          <w:rFonts w:ascii="Times New Roman" w:hAnsi="Times New Roman" w:eastAsia="Times New Roman" w:cs="Times New Roman"/>
          <w:sz w:val="28"/>
          <w:szCs w:val="28"/>
          <w:lang w:eastAsia="ru-RU"/>
        </w:rPr>
        <w:t>Т</w:t>
      </w:r>
      <w:r>
        <w:rPr>
          <w:rFonts w:ascii="Times New Roman" w:hAnsi="Times New Roman" w:eastAsia="Times New Roman" w:cs="Times New Roman"/>
          <w:sz w:val="28"/>
          <w:szCs w:val="28"/>
          <w:lang w:val="en-US" w:eastAsia="ru-RU"/>
        </w:rPr>
        <w:t xml:space="preserve">. 108. — </w:t>
      </w:r>
      <w:r>
        <w:rPr>
          <w:rFonts w:ascii="Times New Roman" w:hAnsi="Times New Roman" w:eastAsia="Times New Roman" w:cs="Times New Roman"/>
          <w:sz w:val="28"/>
          <w:szCs w:val="28"/>
          <w:lang w:eastAsia="ru-RU"/>
        </w:rPr>
        <w:t>Б</w:t>
      </w:r>
      <w:r>
        <w:rPr>
          <w:rFonts w:ascii="Times New Roman" w:hAnsi="Times New Roman" w:eastAsia="Times New Roman" w:cs="Times New Roman"/>
          <w:sz w:val="28"/>
          <w:szCs w:val="28"/>
          <w:lang w:val="en-US" w:eastAsia="ru-RU"/>
        </w:rPr>
        <w:t xml:space="preserve">. 3204–3209. </w:t>
      </w:r>
      <w:r>
        <w:rPr>
          <w:rFonts w:ascii="Times New Roman" w:hAnsi="Times New Roman" w:eastAsia="Times New Roman" w:cs="Times New Roman"/>
          <w:sz w:val="28"/>
          <w:szCs w:val="28"/>
          <w:lang w:eastAsia="ru-RU"/>
        </w:rPr>
        <w:t>DOI: 10.1182/blood–2006–06–027631.</w:t>
      </w:r>
    </w:p>
    <w:p w14:paraId="0F1BCE2B">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Рустембеккызы Z., Тайжанова D. Ассоциация прегестационного ожирения с развитием анемии во время беременности: обзор литературы // Репродуктивная медицина (Центральная Азия). – 2022. - Т.3(52). – Б.50–56. DOI:https://doi.org/10.37800/RM.3.2022.50-56.</w:t>
      </w:r>
    </w:p>
    <w:p w14:paraId="38C10836">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val="en-US" w:eastAsia="ru-RU"/>
        </w:rPr>
        <w:t xml:space="preserve">Cao C., Pressman E.K., Cooper E.M., Guillet R., Westerman M., O’Brien K.O. Prepregnancy Body Mass Index and Gestational Weight Gain Have No Negative Impact on Maternal or Neonatal Iron Status // Reprod. </w:t>
      </w:r>
      <w:r>
        <w:rPr>
          <w:rFonts w:ascii="Times New Roman" w:hAnsi="Times New Roman" w:eastAsia="Times New Roman" w:cs="Times New Roman"/>
          <w:sz w:val="28"/>
          <w:szCs w:val="28"/>
          <w:lang w:eastAsia="ru-RU"/>
        </w:rPr>
        <w:t>Sci. — 2016. — Т. 23. — Б. 613–622. DOI: 10.1177/1933719115607976.</w:t>
      </w:r>
    </w:p>
    <w:p w14:paraId="6064C91F">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val="en-US" w:eastAsia="ru-RU"/>
        </w:rPr>
        <w:t xml:space="preserve">Rawal S., Hinkle S.N., Bao W., Zhu Y., Grewal J., Albert P.S., Weir N.L., Tsai M.Y., Zhang C. A longitudinal study of iron status during pregnancy and the risk of gestational diabetes: Findings from a prospective, multiracial cohort // Diabetologia. — 2017. — </w:t>
      </w:r>
      <w:r>
        <w:rPr>
          <w:rFonts w:ascii="Times New Roman" w:hAnsi="Times New Roman" w:eastAsia="Times New Roman" w:cs="Times New Roman"/>
          <w:sz w:val="28"/>
          <w:szCs w:val="28"/>
          <w:lang w:eastAsia="ru-RU"/>
        </w:rPr>
        <w:t>Т</w:t>
      </w:r>
      <w:r>
        <w:rPr>
          <w:rFonts w:ascii="Times New Roman" w:hAnsi="Times New Roman" w:eastAsia="Times New Roman" w:cs="Times New Roman"/>
          <w:sz w:val="28"/>
          <w:szCs w:val="28"/>
          <w:lang w:val="en-US" w:eastAsia="ru-RU"/>
        </w:rPr>
        <w:t xml:space="preserve">. 60. — </w:t>
      </w:r>
      <w:r>
        <w:rPr>
          <w:rFonts w:ascii="Times New Roman" w:hAnsi="Times New Roman" w:eastAsia="Times New Roman" w:cs="Times New Roman"/>
          <w:sz w:val="28"/>
          <w:szCs w:val="28"/>
          <w:lang w:eastAsia="ru-RU"/>
        </w:rPr>
        <w:t>Б</w:t>
      </w:r>
      <w:r>
        <w:rPr>
          <w:rFonts w:ascii="Times New Roman" w:hAnsi="Times New Roman" w:eastAsia="Times New Roman" w:cs="Times New Roman"/>
          <w:sz w:val="28"/>
          <w:szCs w:val="28"/>
          <w:lang w:val="en-US" w:eastAsia="ru-RU"/>
        </w:rPr>
        <w:t xml:space="preserve">. 249–257. </w:t>
      </w:r>
      <w:r>
        <w:rPr>
          <w:rFonts w:ascii="Times New Roman" w:hAnsi="Times New Roman" w:eastAsia="Times New Roman" w:cs="Times New Roman"/>
          <w:sz w:val="28"/>
          <w:szCs w:val="28"/>
          <w:lang w:eastAsia="ru-RU"/>
        </w:rPr>
        <w:t>DOI: 10.1007/s00125–016–4149–3.</w:t>
      </w:r>
    </w:p>
    <w:p w14:paraId="15848B5F">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val="en-US" w:eastAsia="ru-RU"/>
        </w:rPr>
        <w:t xml:space="preserve">Rehu M., Punnonen K., Ostland V., Heinonen S., Westerman M., Pulkki K., Sankilampi U. Maternal serum hepcidin is low at term and independent of cord blood iron status // Eur. J. Haematol. — 2010. — </w:t>
      </w:r>
      <w:r>
        <w:rPr>
          <w:rFonts w:ascii="Times New Roman" w:hAnsi="Times New Roman" w:eastAsia="Times New Roman" w:cs="Times New Roman"/>
          <w:sz w:val="28"/>
          <w:szCs w:val="28"/>
          <w:lang w:eastAsia="ru-RU"/>
        </w:rPr>
        <w:t>Т</w:t>
      </w:r>
      <w:r>
        <w:rPr>
          <w:rFonts w:ascii="Times New Roman" w:hAnsi="Times New Roman" w:eastAsia="Times New Roman" w:cs="Times New Roman"/>
          <w:sz w:val="28"/>
          <w:szCs w:val="28"/>
          <w:lang w:val="en-US" w:eastAsia="ru-RU"/>
        </w:rPr>
        <w:t xml:space="preserve">. 85. — </w:t>
      </w:r>
      <w:r>
        <w:rPr>
          <w:rFonts w:ascii="Times New Roman" w:hAnsi="Times New Roman" w:eastAsia="Times New Roman" w:cs="Times New Roman"/>
          <w:sz w:val="28"/>
          <w:szCs w:val="28"/>
          <w:lang w:eastAsia="ru-RU"/>
        </w:rPr>
        <w:t>Б</w:t>
      </w:r>
      <w:r>
        <w:rPr>
          <w:rFonts w:ascii="Times New Roman" w:hAnsi="Times New Roman" w:eastAsia="Times New Roman" w:cs="Times New Roman"/>
          <w:sz w:val="28"/>
          <w:szCs w:val="28"/>
          <w:lang w:val="en-US" w:eastAsia="ru-RU"/>
        </w:rPr>
        <w:t xml:space="preserve">. 345–352. </w:t>
      </w:r>
      <w:r>
        <w:rPr>
          <w:rFonts w:ascii="Times New Roman" w:hAnsi="Times New Roman" w:eastAsia="Times New Roman" w:cs="Times New Roman"/>
          <w:sz w:val="28"/>
          <w:szCs w:val="28"/>
          <w:lang w:eastAsia="ru-RU"/>
        </w:rPr>
        <w:t>DOI: 10.1111/j.1600–0609.2010.01479.x.</w:t>
      </w:r>
    </w:p>
    <w:p w14:paraId="18E37E93">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val="en-US" w:eastAsia="ru-RU"/>
        </w:rPr>
        <w:t xml:space="preserve">Lee S., Guillet R., Cooper E.M., Westerman M., Orlando M., Pressman E., O’Brien K.O. Maternal inflammation at delivery affects assessment of maternal iron status // J. Nutr. — 2014. — </w:t>
      </w:r>
      <w:r>
        <w:rPr>
          <w:rFonts w:ascii="Times New Roman" w:hAnsi="Times New Roman" w:eastAsia="Times New Roman" w:cs="Times New Roman"/>
          <w:sz w:val="28"/>
          <w:szCs w:val="28"/>
          <w:lang w:eastAsia="ru-RU"/>
        </w:rPr>
        <w:t>Т</w:t>
      </w:r>
      <w:r>
        <w:rPr>
          <w:rFonts w:ascii="Times New Roman" w:hAnsi="Times New Roman" w:eastAsia="Times New Roman" w:cs="Times New Roman"/>
          <w:sz w:val="28"/>
          <w:szCs w:val="28"/>
          <w:lang w:val="en-US" w:eastAsia="ru-RU"/>
        </w:rPr>
        <w:t xml:space="preserve">. 144. — </w:t>
      </w:r>
      <w:r>
        <w:rPr>
          <w:rFonts w:ascii="Times New Roman" w:hAnsi="Times New Roman" w:eastAsia="Times New Roman" w:cs="Times New Roman"/>
          <w:sz w:val="28"/>
          <w:szCs w:val="28"/>
          <w:lang w:eastAsia="ru-RU"/>
        </w:rPr>
        <w:t>Б</w:t>
      </w:r>
      <w:r>
        <w:rPr>
          <w:rFonts w:ascii="Times New Roman" w:hAnsi="Times New Roman" w:eastAsia="Times New Roman" w:cs="Times New Roman"/>
          <w:sz w:val="28"/>
          <w:szCs w:val="28"/>
          <w:lang w:val="en-US" w:eastAsia="ru-RU"/>
        </w:rPr>
        <w:t xml:space="preserve">. 1524–1532. </w:t>
      </w:r>
      <w:r>
        <w:rPr>
          <w:rFonts w:ascii="Times New Roman" w:hAnsi="Times New Roman" w:eastAsia="Times New Roman" w:cs="Times New Roman"/>
          <w:sz w:val="28"/>
          <w:szCs w:val="28"/>
          <w:lang w:eastAsia="ru-RU"/>
        </w:rPr>
        <w:t>DOI: 10.3945/jn.114.193375.</w:t>
      </w:r>
    </w:p>
    <w:p w14:paraId="6A7B96AE">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val="en-US" w:eastAsia="ru-RU"/>
        </w:rPr>
        <w:t xml:space="preserve">Tussing–Humphreys L., Pusatcioglu C., Nemeth E., Braunschweig C. Rethinking iron regulation and assessment in iron deficiency, anemia of chronic disease, and obesity: Introducing hepcidin // J. Acad. </w:t>
      </w:r>
      <w:r>
        <w:rPr>
          <w:rFonts w:ascii="Times New Roman" w:hAnsi="Times New Roman" w:eastAsia="Times New Roman" w:cs="Times New Roman"/>
          <w:sz w:val="28"/>
          <w:szCs w:val="28"/>
          <w:lang w:eastAsia="ru-RU"/>
        </w:rPr>
        <w:t>Nutr. Diet. — 2012. — Т. 112(3). — Б. 391–400. DOI: 10.1016/j.jada.2011.08.038.</w:t>
      </w:r>
    </w:p>
    <w:p w14:paraId="225083C7">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val="en-US" w:eastAsia="ru-RU"/>
        </w:rPr>
        <w:t xml:space="preserve">Cepeda–Lopez A.C., Melse–Boonstra A., Zimmermann M.B., Herter Aeberli I. In overweight and obese women, dietary iron absorption is reduced and the enhancement of iron absorption by ascorbic acid is one–half that in normal–weight women // Am. J. Clin. </w:t>
      </w:r>
      <w:r>
        <w:rPr>
          <w:rFonts w:ascii="Times New Roman" w:hAnsi="Times New Roman" w:eastAsia="Times New Roman" w:cs="Times New Roman"/>
          <w:sz w:val="28"/>
          <w:szCs w:val="28"/>
          <w:lang w:eastAsia="ru-RU"/>
        </w:rPr>
        <w:t>Nutr. — 2015. — Т. 102(6) — Б. 1389–1397. DOI: 10.3945/ajcn.114.099218.</w:t>
      </w:r>
    </w:p>
    <w:p w14:paraId="05DC38B9">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val="en-US" w:eastAsia="ru-RU"/>
        </w:rPr>
        <w:t xml:space="preserve">Dao M.C., Meydani S.N. Iron biology, immunology, aging, and obesity: Four fields connected by the small peptide hormone hepcidin // Adv. </w:t>
      </w:r>
      <w:r>
        <w:rPr>
          <w:rFonts w:ascii="Times New Roman" w:hAnsi="Times New Roman" w:eastAsia="Times New Roman" w:cs="Times New Roman"/>
          <w:sz w:val="28"/>
          <w:szCs w:val="28"/>
          <w:lang w:eastAsia="ru-RU"/>
        </w:rPr>
        <w:t>Nutr. — 2013. — Т. 4 (6). — Б. 602–617. DOI: 10.3945/an.113.004424.</w:t>
      </w:r>
    </w:p>
    <w:p w14:paraId="6C78B2FF">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val="en-US" w:eastAsia="ru-RU"/>
        </w:rPr>
        <w:t xml:space="preserve">Cepeda–Lopez A.C., Allende–Labastida J., Melse–Boonstra A., Osendarp S.J., Herter–Aeberli I., Moretti D., Rodriguez–Lastra R., Gonzalez–Salazar F., Villalpando S., Zimmermann M.B. The effects of fat loss after bariatric surgery on inflammation, serum hepcidin, and iron absorption: A prospective 6–month iron stable isotope study // Am. J. Clin. </w:t>
      </w:r>
      <w:r>
        <w:rPr>
          <w:rFonts w:ascii="Times New Roman" w:hAnsi="Times New Roman" w:eastAsia="Times New Roman" w:cs="Times New Roman"/>
          <w:sz w:val="28"/>
          <w:szCs w:val="28"/>
          <w:lang w:eastAsia="ru-RU"/>
        </w:rPr>
        <w:t>Nutr. — 2016. — Т. 104(4). — Б. 1030–1038. DOI: 10.3945/ajcn.115.115592.</w:t>
      </w:r>
    </w:p>
    <w:p w14:paraId="6D77DDC4">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val="en-US" w:eastAsia="ru-RU"/>
        </w:rPr>
        <w:t xml:space="preserve">Kaner G., Pekcan A.G., Şarer Yürekli B.P. Effect of a weight loss intervention on iron parameters in overweight and obese Turkish women // Prog. </w:t>
      </w:r>
      <w:r>
        <w:rPr>
          <w:rFonts w:ascii="Times New Roman" w:hAnsi="Times New Roman" w:eastAsia="Times New Roman" w:cs="Times New Roman"/>
          <w:sz w:val="28"/>
          <w:szCs w:val="28"/>
          <w:lang w:eastAsia="ru-RU"/>
        </w:rPr>
        <w:t>Nutr. — 2019. — Т. 21. — Б. 50–56.</w:t>
      </w:r>
    </w:p>
    <w:p w14:paraId="2A838F3B">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val="en-US" w:eastAsia="ru-RU"/>
        </w:rPr>
        <w:t xml:space="preserve">Feelders R.A., Vreugdenhil G., Eggermont A.M., Kuiper–Kramer P.A., Van Eijk H.G., Swaak A.J. Regulation of iron metabolism in the acute–phase response: Interferon gamma and tumour necrosis factor alpha induce hypoferraemia, ferritin production and a decrease in circulating transferrin receptors in cancer patients // Eur. J. Clin. </w:t>
      </w:r>
      <w:r>
        <w:rPr>
          <w:rFonts w:ascii="Times New Roman" w:hAnsi="Times New Roman" w:eastAsia="Times New Roman" w:cs="Times New Roman"/>
          <w:sz w:val="28"/>
          <w:szCs w:val="28"/>
          <w:lang w:eastAsia="ru-RU"/>
        </w:rPr>
        <w:t>Investig. — 1998. — Т. 28. — Б. 520–527. DOI: 10.1046/j.1365–2362.1998.00323.x.</w:t>
      </w:r>
    </w:p>
    <w:p w14:paraId="141A9AFC">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val="en-US" w:eastAsia="ru-RU"/>
        </w:rPr>
        <w:t>Weiss G., Ganz T., Goodnough L.T. Anemia of inflammation // Blood.–2019.–</w:t>
      </w:r>
      <w:r>
        <w:rPr>
          <w:rFonts w:ascii="Times New Roman" w:hAnsi="Times New Roman" w:eastAsia="Times New Roman" w:cs="Times New Roman"/>
          <w:sz w:val="28"/>
          <w:szCs w:val="28"/>
          <w:lang w:eastAsia="ru-RU"/>
        </w:rPr>
        <w:t>Т</w:t>
      </w:r>
      <w:r>
        <w:rPr>
          <w:rFonts w:ascii="Times New Roman" w:hAnsi="Times New Roman" w:eastAsia="Times New Roman" w:cs="Times New Roman"/>
          <w:sz w:val="28"/>
          <w:szCs w:val="28"/>
          <w:lang w:val="en-US" w:eastAsia="ru-RU"/>
        </w:rPr>
        <w:t xml:space="preserve">. </w:t>
      </w:r>
      <w:r>
        <w:rPr>
          <w:rFonts w:ascii="Times New Roman" w:hAnsi="Times New Roman" w:eastAsia="Times New Roman" w:cs="Times New Roman"/>
          <w:sz w:val="28"/>
          <w:szCs w:val="28"/>
          <w:lang w:eastAsia="ru-RU"/>
        </w:rPr>
        <w:t>133, №1.–Б.40–50. DOI: 10.1182/blood-2018-06-856500.</w:t>
      </w:r>
    </w:p>
    <w:p w14:paraId="5BB87323">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val="en-US" w:eastAsia="ru-RU"/>
        </w:rPr>
        <w:t xml:space="preserve">World Health Organization, Centre for Disease Control and Prevention. The interpretation of indicators of iron status during an acute phase response // Assess. </w:t>
      </w:r>
      <w:r>
        <w:rPr>
          <w:rFonts w:ascii="Times New Roman" w:hAnsi="Times New Roman" w:eastAsia="Times New Roman" w:cs="Times New Roman"/>
          <w:sz w:val="28"/>
          <w:szCs w:val="28"/>
          <w:lang w:eastAsia="ru-RU"/>
        </w:rPr>
        <w:t>Iron Status Popul. — 2007. — Т.4. — Б. 95–108.</w:t>
      </w:r>
    </w:p>
    <w:p w14:paraId="4E25EB64">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val="en-US" w:eastAsia="ru-RU"/>
        </w:rPr>
        <w:t xml:space="preserve">Cooke A.A., Connaughton R.M., Lyons C.L., McMorrow A.M., Roche H.M. Fatty acids and chronic low–grade inflammation associated with obesity and the metabolic syndrome // Eur. J. Pharmacol. — 2016. — </w:t>
      </w:r>
      <w:r>
        <w:rPr>
          <w:rFonts w:ascii="Times New Roman" w:hAnsi="Times New Roman" w:eastAsia="Times New Roman" w:cs="Times New Roman"/>
          <w:sz w:val="28"/>
          <w:szCs w:val="28"/>
          <w:lang w:eastAsia="ru-RU"/>
        </w:rPr>
        <w:t>Т</w:t>
      </w:r>
      <w:r>
        <w:rPr>
          <w:rFonts w:ascii="Times New Roman" w:hAnsi="Times New Roman" w:eastAsia="Times New Roman" w:cs="Times New Roman"/>
          <w:sz w:val="28"/>
          <w:szCs w:val="28"/>
          <w:lang w:val="en-US" w:eastAsia="ru-RU"/>
        </w:rPr>
        <w:t xml:space="preserve">. 785. — </w:t>
      </w:r>
      <w:r>
        <w:rPr>
          <w:rFonts w:ascii="Times New Roman" w:hAnsi="Times New Roman" w:eastAsia="Times New Roman" w:cs="Times New Roman"/>
          <w:sz w:val="28"/>
          <w:szCs w:val="28"/>
          <w:lang w:eastAsia="ru-RU"/>
        </w:rPr>
        <w:t>Б</w:t>
      </w:r>
      <w:r>
        <w:rPr>
          <w:rFonts w:ascii="Times New Roman" w:hAnsi="Times New Roman" w:eastAsia="Times New Roman" w:cs="Times New Roman"/>
          <w:sz w:val="28"/>
          <w:szCs w:val="28"/>
          <w:lang w:val="en-US" w:eastAsia="ru-RU"/>
        </w:rPr>
        <w:t xml:space="preserve">. 207–214. </w:t>
      </w:r>
      <w:r>
        <w:rPr>
          <w:rFonts w:ascii="Times New Roman" w:hAnsi="Times New Roman" w:eastAsia="Times New Roman" w:cs="Times New Roman"/>
          <w:sz w:val="28"/>
          <w:szCs w:val="28"/>
          <w:lang w:eastAsia="ru-RU"/>
        </w:rPr>
        <w:t>DOI: 10.1016/j.ejphar.2016.04.021.</w:t>
      </w:r>
    </w:p>
    <w:p w14:paraId="1FC447D4">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val="en-US" w:eastAsia="ru-RU"/>
        </w:rPr>
        <w:t xml:space="preserve">Ellulu M.S., Patimah I., Khaza’Ai H., Rahmat A., Abed Y. Obesity and inflammation: The linking mechanism and the complications // Arch. Med. Sci. — 2017. — Vol. 13. — P. 851–863. </w:t>
      </w:r>
      <w:r>
        <w:rPr>
          <w:rFonts w:ascii="Times New Roman" w:hAnsi="Times New Roman" w:eastAsia="Times New Roman" w:cs="Times New Roman"/>
          <w:sz w:val="28"/>
          <w:szCs w:val="28"/>
          <w:lang w:eastAsia="ru-RU"/>
        </w:rPr>
        <w:t>DOI: 10.5114/aoms.2016.58928.</w:t>
      </w:r>
    </w:p>
    <w:p w14:paraId="48044417">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val="en-US" w:eastAsia="ru-RU"/>
        </w:rPr>
        <w:t xml:space="preserve">Berg A.H., Scherer P.E. Adipose Tissue, Inflammation, and Cardiovascular Disease // Circ. Res. — 2005. — </w:t>
      </w:r>
      <w:r>
        <w:rPr>
          <w:rFonts w:ascii="Times New Roman" w:hAnsi="Times New Roman" w:eastAsia="Times New Roman" w:cs="Times New Roman"/>
          <w:sz w:val="28"/>
          <w:szCs w:val="28"/>
          <w:lang w:eastAsia="ru-RU"/>
        </w:rPr>
        <w:t>Т</w:t>
      </w:r>
      <w:r>
        <w:rPr>
          <w:rFonts w:ascii="Times New Roman" w:hAnsi="Times New Roman" w:eastAsia="Times New Roman" w:cs="Times New Roman"/>
          <w:sz w:val="28"/>
          <w:szCs w:val="28"/>
          <w:lang w:val="en-US" w:eastAsia="ru-RU"/>
        </w:rPr>
        <w:t xml:space="preserve">. 96. — </w:t>
      </w:r>
      <w:r>
        <w:rPr>
          <w:rFonts w:ascii="Times New Roman" w:hAnsi="Times New Roman" w:eastAsia="Times New Roman" w:cs="Times New Roman"/>
          <w:sz w:val="28"/>
          <w:szCs w:val="28"/>
          <w:lang w:eastAsia="ru-RU"/>
        </w:rPr>
        <w:t>Б</w:t>
      </w:r>
      <w:r>
        <w:rPr>
          <w:rFonts w:ascii="Times New Roman" w:hAnsi="Times New Roman" w:eastAsia="Times New Roman" w:cs="Times New Roman"/>
          <w:sz w:val="28"/>
          <w:szCs w:val="28"/>
          <w:lang w:val="en-US" w:eastAsia="ru-RU"/>
        </w:rPr>
        <w:t xml:space="preserve">. 939–949. </w:t>
      </w:r>
      <w:r>
        <w:rPr>
          <w:rFonts w:ascii="Times New Roman" w:hAnsi="Times New Roman" w:eastAsia="Times New Roman" w:cs="Times New Roman"/>
          <w:sz w:val="28"/>
          <w:szCs w:val="28"/>
          <w:lang w:eastAsia="ru-RU"/>
        </w:rPr>
        <w:t>DOI: 10.1161/01.RES.0000163635.62927.34.</w:t>
      </w:r>
    </w:p>
    <w:p w14:paraId="66B50969">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val="en-US" w:eastAsia="ru-RU"/>
        </w:rPr>
        <w:t xml:space="preserve">Christian L.M., Porter K. Longitudinal changes in serum proinflammatory markers across pregnancy and postpartum: Effects of maternal body mass index // Cytokine. — 2014. — </w:t>
      </w:r>
      <w:r>
        <w:rPr>
          <w:rFonts w:ascii="Times New Roman" w:hAnsi="Times New Roman" w:eastAsia="Times New Roman" w:cs="Times New Roman"/>
          <w:sz w:val="28"/>
          <w:szCs w:val="28"/>
          <w:lang w:eastAsia="ru-RU"/>
        </w:rPr>
        <w:t>Т</w:t>
      </w:r>
      <w:r>
        <w:rPr>
          <w:rFonts w:ascii="Times New Roman" w:hAnsi="Times New Roman" w:eastAsia="Times New Roman" w:cs="Times New Roman"/>
          <w:sz w:val="28"/>
          <w:szCs w:val="28"/>
          <w:lang w:val="en-US" w:eastAsia="ru-RU"/>
        </w:rPr>
        <w:t xml:space="preserve">.70. — </w:t>
      </w:r>
      <w:r>
        <w:rPr>
          <w:rFonts w:ascii="Times New Roman" w:hAnsi="Times New Roman" w:eastAsia="Times New Roman" w:cs="Times New Roman"/>
          <w:sz w:val="28"/>
          <w:szCs w:val="28"/>
          <w:lang w:eastAsia="ru-RU"/>
        </w:rPr>
        <w:t>Б</w:t>
      </w:r>
      <w:r>
        <w:rPr>
          <w:rFonts w:ascii="Times New Roman" w:hAnsi="Times New Roman" w:eastAsia="Times New Roman" w:cs="Times New Roman"/>
          <w:sz w:val="28"/>
          <w:szCs w:val="28"/>
          <w:lang w:val="en-US" w:eastAsia="ru-RU"/>
        </w:rPr>
        <w:t xml:space="preserve">.1–18. </w:t>
      </w:r>
      <w:r>
        <w:rPr>
          <w:rFonts w:ascii="Times New Roman" w:hAnsi="Times New Roman" w:eastAsia="Times New Roman" w:cs="Times New Roman"/>
          <w:sz w:val="28"/>
          <w:szCs w:val="28"/>
          <w:lang w:eastAsia="ru-RU"/>
        </w:rPr>
        <w:t>DOI: 10.1016/j.cyto.2014.06.018.</w:t>
      </w:r>
    </w:p>
    <w:p w14:paraId="4A36DFEE">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 xml:space="preserve">Coimbra S., Catarino C., Nascimento H., Inês Alves A., Filipa Medeiros A., Bronze–da–Rocha E., Costa E., Rocha–Pereira P., Aires L., Seabra A., et al. Physical exercise intervention at school improved hepcidin, inflammation, and iron metabolism in overweight and obese children and adolescents // Pediatr. Res. — 2017. — </w:t>
      </w:r>
      <w:r>
        <w:rPr>
          <w:rFonts w:ascii="Times New Roman" w:hAnsi="Times New Roman" w:eastAsia="Times New Roman" w:cs="Times New Roman"/>
          <w:sz w:val="28"/>
          <w:szCs w:val="28"/>
          <w:lang w:eastAsia="ru-RU"/>
        </w:rPr>
        <w:t>Б</w:t>
      </w:r>
      <w:r>
        <w:rPr>
          <w:rFonts w:ascii="Times New Roman" w:hAnsi="Times New Roman" w:eastAsia="Times New Roman" w:cs="Times New Roman"/>
          <w:sz w:val="28"/>
          <w:szCs w:val="28"/>
          <w:lang w:val="en-US" w:eastAsia="ru-RU"/>
        </w:rPr>
        <w:t>. 865. DOI: 10.1038/pr.2017.139.</w:t>
      </w:r>
    </w:p>
    <w:p w14:paraId="36397EAF">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val="en-US" w:eastAsia="ru-RU"/>
        </w:rPr>
        <w:t xml:space="preserve">Naylor C., Petri W.A. Jr. Leptin Regulation of Immune Responses // Trends Mol. Med. — 2016. — </w:t>
      </w:r>
      <w:r>
        <w:rPr>
          <w:rFonts w:ascii="Times New Roman" w:hAnsi="Times New Roman" w:eastAsia="Times New Roman" w:cs="Times New Roman"/>
          <w:sz w:val="28"/>
          <w:szCs w:val="28"/>
          <w:lang w:eastAsia="ru-RU"/>
        </w:rPr>
        <w:t>Т</w:t>
      </w:r>
      <w:r>
        <w:rPr>
          <w:rFonts w:ascii="Times New Roman" w:hAnsi="Times New Roman" w:eastAsia="Times New Roman" w:cs="Times New Roman"/>
          <w:sz w:val="28"/>
          <w:szCs w:val="28"/>
          <w:lang w:val="en-US" w:eastAsia="ru-RU"/>
        </w:rPr>
        <w:t xml:space="preserve">.22. — </w:t>
      </w:r>
      <w:r>
        <w:rPr>
          <w:rFonts w:ascii="Times New Roman" w:hAnsi="Times New Roman" w:eastAsia="Times New Roman" w:cs="Times New Roman"/>
          <w:sz w:val="28"/>
          <w:szCs w:val="28"/>
          <w:lang w:eastAsia="ru-RU"/>
        </w:rPr>
        <w:t>Б</w:t>
      </w:r>
      <w:r>
        <w:rPr>
          <w:rFonts w:ascii="Times New Roman" w:hAnsi="Times New Roman" w:eastAsia="Times New Roman" w:cs="Times New Roman"/>
          <w:sz w:val="28"/>
          <w:szCs w:val="28"/>
          <w:lang w:val="en-US" w:eastAsia="ru-RU"/>
        </w:rPr>
        <w:t xml:space="preserve">.88–98. </w:t>
      </w:r>
      <w:r>
        <w:rPr>
          <w:rFonts w:ascii="Times New Roman" w:hAnsi="Times New Roman" w:eastAsia="Times New Roman" w:cs="Times New Roman"/>
          <w:sz w:val="28"/>
          <w:szCs w:val="28"/>
          <w:lang w:eastAsia="ru-RU"/>
        </w:rPr>
        <w:t>DOI: 10.1016/j.molmed.2015.12.001.</w:t>
      </w:r>
    </w:p>
    <w:p w14:paraId="56BDD584">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 xml:space="preserve">Perez–Perez A., Maymo J., Gambino Y., et al. Leptin stimulates protein synthesis–activating translation machinery in human trophoblastic cells // Biol. Reprod. — 2009. — </w:t>
      </w:r>
      <w:r>
        <w:rPr>
          <w:rFonts w:ascii="Times New Roman" w:hAnsi="Times New Roman" w:eastAsia="Times New Roman" w:cs="Times New Roman"/>
          <w:sz w:val="28"/>
          <w:szCs w:val="28"/>
          <w:lang w:eastAsia="ru-RU"/>
        </w:rPr>
        <w:t>Т</w:t>
      </w:r>
      <w:r>
        <w:rPr>
          <w:rFonts w:ascii="Times New Roman" w:hAnsi="Times New Roman" w:eastAsia="Times New Roman" w:cs="Times New Roman"/>
          <w:sz w:val="28"/>
          <w:szCs w:val="28"/>
          <w:lang w:val="en-US" w:eastAsia="ru-RU"/>
        </w:rPr>
        <w:t xml:space="preserve">. 81. — </w:t>
      </w:r>
      <w:r>
        <w:rPr>
          <w:rFonts w:ascii="Times New Roman" w:hAnsi="Times New Roman" w:eastAsia="Times New Roman" w:cs="Times New Roman"/>
          <w:sz w:val="28"/>
          <w:szCs w:val="28"/>
          <w:lang w:eastAsia="ru-RU"/>
        </w:rPr>
        <w:t>Б</w:t>
      </w:r>
      <w:r>
        <w:rPr>
          <w:rFonts w:ascii="Times New Roman" w:hAnsi="Times New Roman" w:eastAsia="Times New Roman" w:cs="Times New Roman"/>
          <w:sz w:val="28"/>
          <w:szCs w:val="28"/>
          <w:lang w:val="en-US" w:eastAsia="ru-RU"/>
        </w:rPr>
        <w:t>. 826–832. DOI: 10.1095/biolreprod.109.076513.</w:t>
      </w:r>
    </w:p>
    <w:p w14:paraId="4BB50FE7">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val="en-US" w:eastAsia="ru-RU"/>
        </w:rPr>
        <w:t xml:space="preserve">Van der Wijden C.L., Delemarre–van der Waal H.A., Van Mechelen W., Van Poppel M.N. The concurrent validity between leptin, BMI and skin folds during pregnancy and the year after // Nutr. </w:t>
      </w:r>
      <w:r>
        <w:rPr>
          <w:rFonts w:ascii="Times New Roman" w:hAnsi="Times New Roman" w:eastAsia="Times New Roman" w:cs="Times New Roman"/>
          <w:sz w:val="28"/>
          <w:szCs w:val="28"/>
          <w:lang w:eastAsia="ru-RU"/>
        </w:rPr>
        <w:t>Diabetes. — 2013. — Т.3. — Б.86. DOI: 10.1038/nutd.2013.27.</w:t>
      </w:r>
    </w:p>
    <w:p w14:paraId="7C3000C8">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val="en-US" w:eastAsia="ru-RU"/>
        </w:rPr>
        <w:t xml:space="preserve">Weight Gain Have No Negative Impact on Maternal or Neonatal Iron Status // Reprod. </w:t>
      </w:r>
      <w:r>
        <w:rPr>
          <w:rFonts w:ascii="Times New Roman" w:hAnsi="Times New Roman" w:eastAsia="Times New Roman" w:cs="Times New Roman"/>
          <w:sz w:val="28"/>
          <w:szCs w:val="28"/>
          <w:lang w:eastAsia="ru-RU"/>
        </w:rPr>
        <w:t>Sci. — 2016. — Т.23. — Б.613–622.</w:t>
      </w:r>
    </w:p>
    <w:p w14:paraId="589B0020">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val="en-US" w:eastAsia="ru-RU"/>
        </w:rPr>
        <w:t xml:space="preserve">Askari H., Tykodi G., Liu J., Dagogo–Jack S. Fasting plasma leptin level is a surrogate measure of insulin sensitivity // J. Clin. </w:t>
      </w:r>
      <w:r>
        <w:rPr>
          <w:rFonts w:ascii="Times New Roman" w:hAnsi="Times New Roman" w:eastAsia="Times New Roman" w:cs="Times New Roman"/>
          <w:sz w:val="28"/>
          <w:szCs w:val="28"/>
          <w:lang w:eastAsia="ru-RU"/>
        </w:rPr>
        <w:t>Endocrinol. Metab. — 2010. — Т.95. — Б. 3836–3843. DOI: 10.1210/jc.2010–0296.</w:t>
      </w:r>
    </w:p>
    <w:p w14:paraId="4D60B50C">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val="en-US" w:eastAsia="ru-RU"/>
        </w:rPr>
        <w:t xml:space="preserve">Hamed E.A., Zakary M.M., Ahmed N.S., Gamal R.M. Circulating leptin and insulin in obese patients with and without type 2 diabetes mellitus: Relation to ghrelin and oxidative stress // Diabetes Res. </w:t>
      </w:r>
      <w:r>
        <w:rPr>
          <w:rFonts w:ascii="Times New Roman" w:hAnsi="Times New Roman" w:eastAsia="Times New Roman" w:cs="Times New Roman"/>
          <w:sz w:val="28"/>
          <w:szCs w:val="28"/>
          <w:lang w:eastAsia="ru-RU"/>
        </w:rPr>
        <w:t>Clin. Pract. — 2011. —Т.94. — Б.434–441. DOI: 10.1016/j.diabres.2011.08.023.</w:t>
      </w:r>
    </w:p>
    <w:p w14:paraId="120E7D01">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Priyadarshini M., Thomas A., Reisetter A.C., et al. Maternal short–chain fatty acids are associated with metabolic parameters in mothers and newborns // Transl. Res. — 2014. —</w:t>
      </w:r>
      <w:r>
        <w:rPr>
          <w:rFonts w:ascii="Times New Roman" w:hAnsi="Times New Roman" w:eastAsia="Times New Roman" w:cs="Times New Roman"/>
          <w:sz w:val="28"/>
          <w:szCs w:val="28"/>
          <w:lang w:eastAsia="ru-RU"/>
        </w:rPr>
        <w:t>Т</w:t>
      </w:r>
      <w:r>
        <w:rPr>
          <w:rFonts w:ascii="Times New Roman" w:hAnsi="Times New Roman" w:eastAsia="Times New Roman" w:cs="Times New Roman"/>
          <w:sz w:val="28"/>
          <w:szCs w:val="28"/>
          <w:lang w:val="en-US" w:eastAsia="ru-RU"/>
        </w:rPr>
        <w:t>.64.—</w:t>
      </w:r>
      <w:r>
        <w:rPr>
          <w:rFonts w:ascii="Times New Roman" w:hAnsi="Times New Roman" w:eastAsia="Times New Roman" w:cs="Times New Roman"/>
          <w:sz w:val="28"/>
          <w:szCs w:val="28"/>
          <w:lang w:eastAsia="ru-RU"/>
        </w:rPr>
        <w:t>Б</w:t>
      </w:r>
      <w:r>
        <w:rPr>
          <w:rFonts w:ascii="Times New Roman" w:hAnsi="Times New Roman" w:eastAsia="Times New Roman" w:cs="Times New Roman"/>
          <w:sz w:val="28"/>
          <w:szCs w:val="28"/>
          <w:lang w:val="en-US" w:eastAsia="ru-RU"/>
        </w:rPr>
        <w:t>.153–157. DOI: 10.1016/j.trsl.2014.01.012.</w:t>
      </w:r>
    </w:p>
    <w:p w14:paraId="50DE5B91">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val="en-US" w:eastAsia="ru-RU"/>
        </w:rPr>
        <w:t>Ozias M.K., Li S., Hull H.R., Brooks W.M., Carlson S.E. Relationship of circulating adipokines to body composition in pregnant women // Adipocyte.—2015.—</w:t>
      </w:r>
      <w:r>
        <w:rPr>
          <w:rFonts w:ascii="Times New Roman" w:hAnsi="Times New Roman" w:eastAsia="Times New Roman" w:cs="Times New Roman"/>
          <w:sz w:val="28"/>
          <w:szCs w:val="28"/>
          <w:lang w:eastAsia="ru-RU"/>
        </w:rPr>
        <w:t>Т</w:t>
      </w:r>
      <w:r>
        <w:rPr>
          <w:rFonts w:ascii="Times New Roman" w:hAnsi="Times New Roman" w:eastAsia="Times New Roman" w:cs="Times New Roman"/>
          <w:sz w:val="28"/>
          <w:szCs w:val="28"/>
          <w:lang w:val="en-US" w:eastAsia="ru-RU"/>
        </w:rPr>
        <w:t>.4.—</w:t>
      </w:r>
      <w:r>
        <w:rPr>
          <w:rFonts w:ascii="Times New Roman" w:hAnsi="Times New Roman" w:eastAsia="Times New Roman" w:cs="Times New Roman"/>
          <w:sz w:val="28"/>
          <w:szCs w:val="28"/>
          <w:lang w:eastAsia="ru-RU"/>
        </w:rPr>
        <w:t>Б</w:t>
      </w:r>
      <w:r>
        <w:rPr>
          <w:rFonts w:ascii="Times New Roman" w:hAnsi="Times New Roman" w:eastAsia="Times New Roman" w:cs="Times New Roman"/>
          <w:sz w:val="28"/>
          <w:szCs w:val="28"/>
          <w:lang w:val="en-US" w:eastAsia="ru-RU"/>
        </w:rPr>
        <w:t xml:space="preserve">.44–49. </w:t>
      </w:r>
      <w:r>
        <w:rPr>
          <w:rFonts w:ascii="Times New Roman" w:hAnsi="Times New Roman" w:eastAsia="Times New Roman" w:cs="Times New Roman"/>
          <w:sz w:val="28"/>
          <w:szCs w:val="28"/>
          <w:lang w:eastAsia="ru-RU"/>
        </w:rPr>
        <w:t>DOI: 10.4161/adip.29805.</w:t>
      </w:r>
    </w:p>
    <w:p w14:paraId="7D6B9919">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val="en-US" w:eastAsia="ru-RU"/>
        </w:rPr>
        <w:t xml:space="preserve"> Franco–Sena A.B., De Oliveira L.C., De Jesus Pereira Pinto T., Farias D.R., Vaz Jdos S., Kac G. Factors associated with prospective leptin concentrations throughout pregnancy in pregestational normal weight, overweight and obese women // Clin. </w:t>
      </w:r>
      <w:r>
        <w:rPr>
          <w:rFonts w:ascii="Times New Roman" w:hAnsi="Times New Roman" w:eastAsia="Times New Roman" w:cs="Times New Roman"/>
          <w:sz w:val="28"/>
          <w:szCs w:val="28"/>
          <w:lang w:eastAsia="ru-RU"/>
        </w:rPr>
        <w:t>Endocrinol.—2015.—Т.82. — Б.127–135. DOI: 10.1111/cen.12487.</w:t>
      </w:r>
    </w:p>
    <w:p w14:paraId="23DD429A">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val="en-US" w:eastAsia="ru-RU"/>
        </w:rPr>
        <w:t>Vahamiko S., Isolauri E., Pesonen U., Koskinen P., Ekblad U., Laitinen K. Dietary sucrose intake is related to serum leptin concentration in overweight pregnant women // Eur. J. Nutr.—2010.—</w:t>
      </w:r>
      <w:r>
        <w:rPr>
          <w:rFonts w:ascii="Times New Roman" w:hAnsi="Times New Roman" w:eastAsia="Times New Roman" w:cs="Times New Roman"/>
          <w:sz w:val="28"/>
          <w:szCs w:val="28"/>
          <w:lang w:eastAsia="ru-RU"/>
        </w:rPr>
        <w:t>Т</w:t>
      </w:r>
      <w:r>
        <w:rPr>
          <w:rFonts w:ascii="Times New Roman" w:hAnsi="Times New Roman" w:eastAsia="Times New Roman" w:cs="Times New Roman"/>
          <w:sz w:val="28"/>
          <w:szCs w:val="28"/>
          <w:lang w:val="en-US" w:eastAsia="ru-RU"/>
        </w:rPr>
        <w:t>.49.—</w:t>
      </w:r>
      <w:r>
        <w:rPr>
          <w:rFonts w:ascii="Times New Roman" w:hAnsi="Times New Roman" w:eastAsia="Times New Roman" w:cs="Times New Roman"/>
          <w:sz w:val="28"/>
          <w:szCs w:val="28"/>
          <w:lang w:eastAsia="ru-RU"/>
        </w:rPr>
        <w:t>Б</w:t>
      </w:r>
      <w:r>
        <w:rPr>
          <w:rFonts w:ascii="Times New Roman" w:hAnsi="Times New Roman" w:eastAsia="Times New Roman" w:cs="Times New Roman"/>
          <w:sz w:val="28"/>
          <w:szCs w:val="28"/>
          <w:lang w:val="en-US" w:eastAsia="ru-RU"/>
        </w:rPr>
        <w:t xml:space="preserve">.83–90. </w:t>
      </w:r>
      <w:r>
        <w:rPr>
          <w:rFonts w:ascii="Times New Roman" w:hAnsi="Times New Roman" w:eastAsia="Times New Roman" w:cs="Times New Roman"/>
          <w:sz w:val="28"/>
          <w:szCs w:val="28"/>
          <w:lang w:eastAsia="ru-RU"/>
        </w:rPr>
        <w:t>DOI: 10.1007/s00394–009–0052–8.</w:t>
      </w:r>
    </w:p>
    <w:p w14:paraId="7A50E4C9">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val="en-US" w:eastAsia="ru-RU"/>
        </w:rPr>
        <w:t xml:space="preserve">Castellano Filho D.S., Do Amaral Correa J.O., Dos Santos Ramos P., De Oliveira Montessi M., Aarestrup B.J., Aarestrup F.M. Body weight gain and serum leptin levels of non–overweight and overweight/obese pregnant women // Med. Sci. </w:t>
      </w:r>
      <w:r>
        <w:rPr>
          <w:rFonts w:ascii="Times New Roman" w:hAnsi="Times New Roman" w:eastAsia="Times New Roman" w:cs="Times New Roman"/>
          <w:sz w:val="28"/>
          <w:szCs w:val="28"/>
          <w:lang w:eastAsia="ru-RU"/>
        </w:rPr>
        <w:t>Monit.—2013.—Т. 19. — Б.1043–1049. DOI: 10.12659/MSM.884027.</w:t>
      </w:r>
    </w:p>
    <w:p w14:paraId="0C65E0DE">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val="en-US" w:eastAsia="ru-RU"/>
        </w:rPr>
        <w:t xml:space="preserve">Gustafson B. Adipose Tissue, Inflammation and Atherosclerosis // J. Atheroscler. </w:t>
      </w:r>
      <w:r>
        <w:rPr>
          <w:rFonts w:ascii="Times New Roman" w:hAnsi="Times New Roman" w:eastAsia="Times New Roman" w:cs="Times New Roman"/>
          <w:sz w:val="28"/>
          <w:szCs w:val="28"/>
          <w:lang w:eastAsia="ru-RU"/>
        </w:rPr>
        <w:t>Thromb.—2010.—Т.17.—P.1–12. DOI: 10.5551/jat.3939.</w:t>
      </w:r>
    </w:p>
    <w:p w14:paraId="3B706337">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val="en-US" w:eastAsia="ru-RU"/>
        </w:rPr>
        <w:t xml:space="preserve">Amato A., Santoro N., Calabrò P., Grandone A., Swinkels D.W., Perrone L., del Giudice E.M. Effect of body mass index reduction on serum hepcidin levels and iron status in obese children // Int. J. Obes. </w:t>
      </w:r>
      <w:r>
        <w:rPr>
          <w:rFonts w:ascii="Times New Roman" w:hAnsi="Times New Roman" w:eastAsia="Times New Roman" w:cs="Times New Roman"/>
          <w:sz w:val="28"/>
          <w:szCs w:val="28"/>
          <w:lang w:eastAsia="ru-RU"/>
        </w:rPr>
        <w:t>(Lond).—2010.—Т.34.—Б.1772–1774. DOI: 10.1038/ijo.2010.204.</w:t>
      </w:r>
    </w:p>
    <w:p w14:paraId="619B0228">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val="en-US" w:eastAsia="ru-RU"/>
        </w:rPr>
        <w:t>Gong L., Yuan F., Teng J., Li X., Zheng S., Lin L., Deng H., Ma G., Sun C., Li Y. Weight loss, inflammatory markers, and improvements of iron status in overweight and obese children // J. Pediatr.—2014.—</w:t>
      </w:r>
      <w:r>
        <w:rPr>
          <w:rFonts w:ascii="Times New Roman" w:hAnsi="Times New Roman" w:eastAsia="Times New Roman" w:cs="Times New Roman"/>
          <w:sz w:val="28"/>
          <w:szCs w:val="28"/>
          <w:lang w:eastAsia="ru-RU"/>
        </w:rPr>
        <w:t>Т</w:t>
      </w:r>
      <w:r>
        <w:rPr>
          <w:rFonts w:ascii="Times New Roman" w:hAnsi="Times New Roman" w:eastAsia="Times New Roman" w:cs="Times New Roman"/>
          <w:sz w:val="28"/>
          <w:szCs w:val="28"/>
          <w:lang w:val="en-US" w:eastAsia="ru-RU"/>
        </w:rPr>
        <w:t>.164.—</w:t>
      </w:r>
      <w:r>
        <w:rPr>
          <w:rFonts w:ascii="Times New Roman" w:hAnsi="Times New Roman" w:eastAsia="Times New Roman" w:cs="Times New Roman"/>
          <w:sz w:val="28"/>
          <w:szCs w:val="28"/>
          <w:lang w:eastAsia="ru-RU"/>
        </w:rPr>
        <w:t>Б</w:t>
      </w:r>
      <w:r>
        <w:rPr>
          <w:rFonts w:ascii="Times New Roman" w:hAnsi="Times New Roman" w:eastAsia="Times New Roman" w:cs="Times New Roman"/>
          <w:sz w:val="28"/>
          <w:szCs w:val="28"/>
          <w:lang w:val="en-US" w:eastAsia="ru-RU"/>
        </w:rPr>
        <w:t xml:space="preserve">.795–800. </w:t>
      </w:r>
      <w:r>
        <w:rPr>
          <w:rFonts w:ascii="Times New Roman" w:hAnsi="Times New Roman" w:eastAsia="Times New Roman" w:cs="Times New Roman"/>
          <w:sz w:val="28"/>
          <w:szCs w:val="28"/>
          <w:lang w:eastAsia="ru-RU"/>
        </w:rPr>
        <w:t>DOI: 10.1016/j.jpeds.2013.12.004.</w:t>
      </w:r>
    </w:p>
    <w:p w14:paraId="12AE95D2">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val="en-US" w:eastAsia="ru-RU"/>
        </w:rPr>
        <w:t>Aigner E., Feldman A., Datz C. Obesity as an Emerging Risk Factor for Iron Deficiency // Nutrients.—2014.—</w:t>
      </w:r>
      <w:r>
        <w:rPr>
          <w:rFonts w:ascii="Times New Roman" w:hAnsi="Times New Roman" w:eastAsia="Times New Roman" w:cs="Times New Roman"/>
          <w:sz w:val="28"/>
          <w:szCs w:val="28"/>
          <w:lang w:eastAsia="ru-RU"/>
        </w:rPr>
        <w:t>Т</w:t>
      </w:r>
      <w:r>
        <w:rPr>
          <w:rFonts w:ascii="Times New Roman" w:hAnsi="Times New Roman" w:eastAsia="Times New Roman" w:cs="Times New Roman"/>
          <w:sz w:val="28"/>
          <w:szCs w:val="28"/>
          <w:lang w:val="en-US" w:eastAsia="ru-RU"/>
        </w:rPr>
        <w:t>.6 —</w:t>
      </w:r>
      <w:r>
        <w:rPr>
          <w:rFonts w:ascii="Times New Roman" w:hAnsi="Times New Roman" w:eastAsia="Times New Roman" w:cs="Times New Roman"/>
          <w:sz w:val="28"/>
          <w:szCs w:val="28"/>
          <w:lang w:eastAsia="ru-RU"/>
        </w:rPr>
        <w:t>Б</w:t>
      </w:r>
      <w:r>
        <w:rPr>
          <w:rFonts w:ascii="Times New Roman" w:hAnsi="Times New Roman" w:eastAsia="Times New Roman" w:cs="Times New Roman"/>
          <w:sz w:val="28"/>
          <w:szCs w:val="28"/>
          <w:lang w:val="en-US" w:eastAsia="ru-RU"/>
        </w:rPr>
        <w:t xml:space="preserve">.3587–3600. </w:t>
      </w:r>
      <w:r>
        <w:rPr>
          <w:rFonts w:ascii="Times New Roman" w:hAnsi="Times New Roman" w:eastAsia="Times New Roman" w:cs="Times New Roman"/>
          <w:sz w:val="28"/>
          <w:szCs w:val="28"/>
          <w:lang w:eastAsia="ru-RU"/>
        </w:rPr>
        <w:t>DOI: 10.3390/nu6093587.</w:t>
      </w:r>
    </w:p>
    <w:p w14:paraId="4EB6523C">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val="en-US" w:eastAsia="ru-RU"/>
        </w:rPr>
        <w:t xml:space="preserve">Pendeloski K.P.T., Ono E., Torloni M.R., Mattar R., Daher S. Maternal obesity and inflammatory mediators: A controversial association // Am. J. Reprod. </w:t>
      </w:r>
      <w:r>
        <w:rPr>
          <w:rFonts w:ascii="Times New Roman" w:hAnsi="Times New Roman" w:eastAsia="Times New Roman" w:cs="Times New Roman"/>
          <w:sz w:val="28"/>
          <w:szCs w:val="28"/>
          <w:lang w:eastAsia="ru-RU"/>
        </w:rPr>
        <w:t>Immunol —2017.—Т.77. — Б.1–8.</w:t>
      </w:r>
    </w:p>
    <w:p w14:paraId="437DA36F">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val="en-US" w:eastAsia="ru-RU"/>
        </w:rPr>
        <w:t>Nead K.G., Halterman J.S., Kaczorowski J.M., Auinger P., Weitzman M. Overweight Children and Adolescents: A Risk Group for Iron Deficiency // Pediatrics.—2004.—</w:t>
      </w:r>
      <w:r>
        <w:rPr>
          <w:rFonts w:ascii="Times New Roman" w:hAnsi="Times New Roman" w:eastAsia="Times New Roman" w:cs="Times New Roman"/>
          <w:sz w:val="28"/>
          <w:szCs w:val="28"/>
          <w:lang w:eastAsia="ru-RU"/>
        </w:rPr>
        <w:t>Т</w:t>
      </w:r>
      <w:r>
        <w:rPr>
          <w:rFonts w:ascii="Times New Roman" w:hAnsi="Times New Roman" w:eastAsia="Times New Roman" w:cs="Times New Roman"/>
          <w:sz w:val="28"/>
          <w:szCs w:val="28"/>
          <w:lang w:val="en-US" w:eastAsia="ru-RU"/>
        </w:rPr>
        <w:t xml:space="preserve">. </w:t>
      </w:r>
      <w:r>
        <w:rPr>
          <w:rFonts w:ascii="Times New Roman" w:hAnsi="Times New Roman" w:eastAsia="Times New Roman" w:cs="Times New Roman"/>
          <w:sz w:val="28"/>
          <w:szCs w:val="28"/>
          <w:lang w:eastAsia="ru-RU"/>
        </w:rPr>
        <w:t>114.—Б.104–108. DOI: 10.1542/peds.114.1.104.</w:t>
      </w:r>
    </w:p>
    <w:p w14:paraId="45F3B8C8">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val="en-US" w:eastAsia="ru-RU"/>
        </w:rPr>
        <w:t xml:space="preserve">Stoffel N.U., El–Mallah C., Herter–Aeberli I., Bissani N., Wehbe N., Obeid O., Zimmermann M.B. The effect of central obesity on inflammation, hepcidin, and iron metabolism in young women // Int. J. Obes. </w:t>
      </w:r>
      <w:r>
        <w:rPr>
          <w:rFonts w:ascii="Times New Roman" w:hAnsi="Times New Roman" w:eastAsia="Times New Roman" w:cs="Times New Roman"/>
          <w:sz w:val="28"/>
          <w:szCs w:val="28"/>
          <w:lang w:eastAsia="ru-RU"/>
        </w:rPr>
        <w:t>(Lond). — 2020. — Т. 44. — Б. 1291–1300. DOI: 10.1038/s41366–020–0522–x.</w:t>
      </w:r>
    </w:p>
    <w:p w14:paraId="3204BA3B">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val="en-US" w:eastAsia="ru-RU"/>
        </w:rPr>
        <w:t>Fontana L., Eagon J.C., Trujillo M.E., Scherer P.E., Klein S. Visceral fat adipokine secretion is associated with systemic inflammation in obese humans // Diabetes. — 2007.—</w:t>
      </w:r>
      <w:r>
        <w:rPr>
          <w:rFonts w:ascii="Times New Roman" w:hAnsi="Times New Roman" w:eastAsia="Times New Roman" w:cs="Times New Roman"/>
          <w:sz w:val="28"/>
          <w:szCs w:val="28"/>
          <w:lang w:eastAsia="ru-RU"/>
        </w:rPr>
        <w:t>Т</w:t>
      </w:r>
      <w:r>
        <w:rPr>
          <w:rFonts w:ascii="Times New Roman" w:hAnsi="Times New Roman" w:eastAsia="Times New Roman" w:cs="Times New Roman"/>
          <w:sz w:val="28"/>
          <w:szCs w:val="28"/>
          <w:lang w:val="en-US" w:eastAsia="ru-RU"/>
        </w:rPr>
        <w:t xml:space="preserve">.56. — </w:t>
      </w:r>
      <w:r>
        <w:rPr>
          <w:rFonts w:ascii="Times New Roman" w:hAnsi="Times New Roman" w:eastAsia="Times New Roman" w:cs="Times New Roman"/>
          <w:sz w:val="28"/>
          <w:szCs w:val="28"/>
          <w:lang w:eastAsia="ru-RU"/>
        </w:rPr>
        <w:t>Б</w:t>
      </w:r>
      <w:r>
        <w:rPr>
          <w:rFonts w:ascii="Times New Roman" w:hAnsi="Times New Roman" w:eastAsia="Times New Roman" w:cs="Times New Roman"/>
          <w:sz w:val="28"/>
          <w:szCs w:val="28"/>
          <w:lang w:val="en-US" w:eastAsia="ru-RU"/>
        </w:rPr>
        <w:t xml:space="preserve">.1010–1013. </w:t>
      </w:r>
      <w:r>
        <w:rPr>
          <w:rFonts w:ascii="Times New Roman" w:hAnsi="Times New Roman" w:eastAsia="Times New Roman" w:cs="Times New Roman"/>
          <w:sz w:val="28"/>
          <w:szCs w:val="28"/>
          <w:lang w:eastAsia="ru-RU"/>
        </w:rPr>
        <w:t>DOI: 10.2337/db06–1656.</w:t>
      </w:r>
    </w:p>
    <w:p w14:paraId="7A6940A6">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val="en-US" w:eastAsia="ru-RU"/>
        </w:rPr>
        <w:t xml:space="preserve">Stoffel N.U., El–Mallah C., Herter–Aeberli I., Bissani N., Wehbe N., Obeid O., Zimmermann M.B. The effect of central obesity on inflammation, hepcidin, and iron metabolism in young women // Int. J. Obes. </w:t>
      </w:r>
      <w:r>
        <w:rPr>
          <w:rFonts w:ascii="Times New Roman" w:hAnsi="Times New Roman" w:eastAsia="Times New Roman" w:cs="Times New Roman"/>
          <w:sz w:val="28"/>
          <w:szCs w:val="28"/>
          <w:lang w:eastAsia="ru-RU"/>
        </w:rPr>
        <w:t>(Lond). — 2020.—Т. 44.—Б.1291–1300. DOI: 10.1038/s41366–020–0522–x.</w:t>
      </w:r>
    </w:p>
    <w:p w14:paraId="32E20AA1">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val="en-US" w:eastAsia="ru-RU"/>
        </w:rPr>
        <w:t xml:space="preserve">Hwang H.S., Kwon J.Y., Kim M.A., Park Y.W., Kim Y.H. Maternal serum highly sensitive C–reactive protein in normal pregnancy and pre–eclampsia // Int. J. Gynaecol. </w:t>
      </w:r>
      <w:r>
        <w:rPr>
          <w:rFonts w:ascii="Times New Roman" w:hAnsi="Times New Roman" w:eastAsia="Times New Roman" w:cs="Times New Roman"/>
          <w:sz w:val="28"/>
          <w:szCs w:val="28"/>
          <w:lang w:eastAsia="ru-RU"/>
        </w:rPr>
        <w:t>Obstet.—2007.—Т. 98.—Б.105–109. DOI: 10.1016/j.ijgo.2007.03.050.</w:t>
      </w:r>
    </w:p>
    <w:p w14:paraId="24BE92BD">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val="en-US" w:eastAsia="ru-RU"/>
        </w:rPr>
        <w:t xml:space="preserve">Simavli S., Derbent A.U., Uysal S., Turhan N.O. Hepcidin, iron status, and inflammation variables among healthy pregnant women in the Turkish population // J. Matern. </w:t>
      </w:r>
      <w:r>
        <w:rPr>
          <w:rFonts w:ascii="Times New Roman" w:hAnsi="Times New Roman" w:eastAsia="Times New Roman" w:cs="Times New Roman"/>
          <w:sz w:val="28"/>
          <w:szCs w:val="28"/>
          <w:lang w:eastAsia="ru-RU"/>
        </w:rPr>
        <w:t>Fetal Neonatal Med.—2013.—Т.27. — Б.75–79. DOI: 10.3109/14767058.2013.804054.</w:t>
      </w:r>
    </w:p>
    <w:p w14:paraId="3E1024BE">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val="en-US" w:eastAsia="ru-RU"/>
        </w:rPr>
        <w:t xml:space="preserve">Christian P., Jiang T., Khatry S.K., LeClerq S.C., Shrestha S.R., West K.P. Antenatal supplementation with micronutrients and biochemical indicators of status and subclinical infection in rural Nepal // Am. J. Clin. </w:t>
      </w:r>
      <w:r>
        <w:rPr>
          <w:rFonts w:ascii="Times New Roman" w:hAnsi="Times New Roman" w:eastAsia="Times New Roman" w:cs="Times New Roman"/>
          <w:sz w:val="28"/>
          <w:szCs w:val="28"/>
          <w:lang w:eastAsia="ru-RU"/>
        </w:rPr>
        <w:t>Nutr. — 2006. — Т.83. —Б.788–794. DOI: 10.1093/ajcn/83.4.788.</w:t>
      </w:r>
    </w:p>
    <w:p w14:paraId="0C5E5CD3">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Mor G., Cardenas I., Abrahams V., Guller S. Inflammation and pregnancy: The role of the immune system at the implantation site // Ann. N. Y. Acad. Sci. — 2011.—</w:t>
      </w:r>
      <w:r>
        <w:rPr>
          <w:rFonts w:ascii="Times New Roman" w:hAnsi="Times New Roman" w:eastAsia="Times New Roman" w:cs="Times New Roman"/>
          <w:sz w:val="28"/>
          <w:szCs w:val="28"/>
          <w:lang w:eastAsia="ru-RU"/>
        </w:rPr>
        <w:t>Т</w:t>
      </w:r>
      <w:r>
        <w:rPr>
          <w:rFonts w:ascii="Times New Roman" w:hAnsi="Times New Roman" w:eastAsia="Times New Roman" w:cs="Times New Roman"/>
          <w:sz w:val="28"/>
          <w:szCs w:val="28"/>
          <w:lang w:val="en-US" w:eastAsia="ru-RU"/>
        </w:rPr>
        <w:t>.1221.—</w:t>
      </w:r>
      <w:r>
        <w:rPr>
          <w:rFonts w:ascii="Times New Roman" w:hAnsi="Times New Roman" w:eastAsia="Times New Roman" w:cs="Times New Roman"/>
          <w:sz w:val="28"/>
          <w:szCs w:val="28"/>
          <w:lang w:eastAsia="ru-RU"/>
        </w:rPr>
        <w:t>Б</w:t>
      </w:r>
      <w:r>
        <w:rPr>
          <w:rFonts w:ascii="Times New Roman" w:hAnsi="Times New Roman" w:eastAsia="Times New Roman" w:cs="Times New Roman"/>
          <w:sz w:val="28"/>
          <w:szCs w:val="28"/>
          <w:lang w:val="en-US" w:eastAsia="ru-RU"/>
        </w:rPr>
        <w:t>.80–87.</w:t>
      </w:r>
    </w:p>
    <w:p w14:paraId="1B1BCF4A">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val="en-US" w:eastAsia="ru-RU"/>
        </w:rPr>
        <w:t xml:space="preserve">Belo L., Santos–Silva A., Rocha S., Caslake M., Cooney J., Pereira–Leite L., Quintanilha A., Rebelo I. Fluctuations in C–reactive protein concentration and neutrophil activation during normal human pregnancy // Eur. J. Obstet. </w:t>
      </w:r>
      <w:r>
        <w:rPr>
          <w:rFonts w:ascii="Times New Roman" w:hAnsi="Times New Roman" w:eastAsia="Times New Roman" w:cs="Times New Roman"/>
          <w:sz w:val="28"/>
          <w:szCs w:val="28"/>
          <w:lang w:eastAsia="ru-RU"/>
        </w:rPr>
        <w:t>Gynecol. Reprod. Biol. — 2005. — Т.123.—Б.46–51. DOI: 10.1016/j.ejogrb.2005.02.022.</w:t>
      </w:r>
    </w:p>
    <w:p w14:paraId="14EC0C0C">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val="en-US" w:eastAsia="ru-RU"/>
        </w:rPr>
        <w:t xml:space="preserve">Picklesimer A.H., Jared H.L., Moss K., Offenbacher S., Beck J.D., Boggess K.A. Racial differences in C–reactive protein levels during normal pregnancy // Am. J. Obstet. </w:t>
      </w:r>
      <w:r>
        <w:rPr>
          <w:rFonts w:ascii="Times New Roman" w:hAnsi="Times New Roman" w:eastAsia="Times New Roman" w:cs="Times New Roman"/>
          <w:sz w:val="28"/>
          <w:szCs w:val="28"/>
          <w:lang w:eastAsia="ru-RU"/>
        </w:rPr>
        <w:t>Gynecol.—2008.—Т.199.—Б.1–6. DOI: 10.1016/j.ajog.2008.04.017.</w:t>
      </w:r>
    </w:p>
    <w:p w14:paraId="3E96EABF">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val="en-US" w:eastAsia="ru-RU"/>
        </w:rPr>
        <w:t xml:space="preserve">Thurnham D.I., McCabe L.D., Haldar S., Wieringa F.T., Northrop–Clewes C.A., McCabe G.P. Adjusting plasma ferritin concentrations to remove the effects of subclinical inflammation in the assessment of iron deficiency: A meta–analysis // Am. J. Clin. </w:t>
      </w:r>
      <w:r>
        <w:rPr>
          <w:rFonts w:ascii="Times New Roman" w:hAnsi="Times New Roman" w:eastAsia="Times New Roman" w:cs="Times New Roman"/>
          <w:sz w:val="28"/>
          <w:szCs w:val="28"/>
          <w:lang w:eastAsia="ru-RU"/>
        </w:rPr>
        <w:t>Nutr. — 2010.—Т.92.—Б.546–555. DOI: 10.3945/ajcn.2010.29284.</w:t>
      </w:r>
    </w:p>
    <w:p w14:paraId="3EB878AE">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Namaste S.M., Rohner F., Huang J., Bhushan N.L., Flores–Ayala R., Kupka R., Mei Z., Rawat R., Williams A.M., Raiten D.J., et al. Adjusting ferritin concentrations for inflammation: Biomarkers Reflecting Inflammation and Nutritional Determinants of Anemia (BRINDA) project // Am. J. Clin. Nutr.—2017.—</w:t>
      </w:r>
      <w:r>
        <w:rPr>
          <w:rFonts w:ascii="Times New Roman" w:hAnsi="Times New Roman" w:eastAsia="Times New Roman" w:cs="Times New Roman"/>
          <w:sz w:val="28"/>
          <w:szCs w:val="28"/>
          <w:lang w:eastAsia="ru-RU"/>
        </w:rPr>
        <w:t>Т</w:t>
      </w:r>
      <w:r>
        <w:rPr>
          <w:rFonts w:ascii="Times New Roman" w:hAnsi="Times New Roman" w:eastAsia="Times New Roman" w:cs="Times New Roman"/>
          <w:sz w:val="28"/>
          <w:szCs w:val="28"/>
          <w:lang w:val="en-US" w:eastAsia="ru-RU"/>
        </w:rPr>
        <w:t>.106.—</w:t>
      </w:r>
      <w:r>
        <w:rPr>
          <w:rFonts w:ascii="Times New Roman" w:hAnsi="Times New Roman" w:eastAsia="Times New Roman" w:cs="Times New Roman"/>
          <w:sz w:val="28"/>
          <w:szCs w:val="28"/>
          <w:lang w:eastAsia="ru-RU"/>
        </w:rPr>
        <w:t>Б</w:t>
      </w:r>
      <w:r>
        <w:rPr>
          <w:rFonts w:ascii="Times New Roman" w:hAnsi="Times New Roman" w:eastAsia="Times New Roman" w:cs="Times New Roman"/>
          <w:sz w:val="28"/>
          <w:szCs w:val="28"/>
          <w:lang w:val="en-US" w:eastAsia="ru-RU"/>
        </w:rPr>
        <w:t>.359–371. DOI: 10.3945/ajcn.116.141762.</w:t>
      </w:r>
    </w:p>
    <w:p w14:paraId="45FA7624">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val="en-US" w:eastAsia="ru-RU"/>
        </w:rPr>
        <w:t xml:space="preserve">Zimmermann M.B., Hurrell R.F. Nutritional iron deficiency // Lancet. — 2007. — </w:t>
      </w:r>
      <w:r>
        <w:rPr>
          <w:rFonts w:ascii="Times New Roman" w:hAnsi="Times New Roman" w:eastAsia="Times New Roman" w:cs="Times New Roman"/>
          <w:sz w:val="28"/>
          <w:szCs w:val="28"/>
          <w:lang w:eastAsia="ru-RU"/>
        </w:rPr>
        <w:t>Т</w:t>
      </w:r>
      <w:r>
        <w:rPr>
          <w:rFonts w:ascii="Times New Roman" w:hAnsi="Times New Roman" w:eastAsia="Times New Roman" w:cs="Times New Roman"/>
          <w:sz w:val="28"/>
          <w:szCs w:val="28"/>
          <w:lang w:val="en-US" w:eastAsia="ru-RU"/>
        </w:rPr>
        <w:t>. 370.—</w:t>
      </w:r>
      <w:r>
        <w:rPr>
          <w:rFonts w:ascii="Times New Roman" w:hAnsi="Times New Roman" w:eastAsia="Times New Roman" w:cs="Times New Roman"/>
          <w:sz w:val="28"/>
          <w:szCs w:val="28"/>
          <w:lang w:eastAsia="ru-RU"/>
        </w:rPr>
        <w:t>Б</w:t>
      </w:r>
      <w:r>
        <w:rPr>
          <w:rFonts w:ascii="Times New Roman" w:hAnsi="Times New Roman" w:eastAsia="Times New Roman" w:cs="Times New Roman"/>
          <w:sz w:val="28"/>
          <w:szCs w:val="28"/>
          <w:lang w:val="en-US" w:eastAsia="ru-RU"/>
        </w:rPr>
        <w:t xml:space="preserve">.511–520. </w:t>
      </w:r>
      <w:r>
        <w:rPr>
          <w:rFonts w:ascii="Times New Roman" w:hAnsi="Times New Roman" w:eastAsia="Times New Roman" w:cs="Times New Roman"/>
          <w:sz w:val="28"/>
          <w:szCs w:val="28"/>
          <w:lang w:eastAsia="ru-RU"/>
        </w:rPr>
        <w:t>DOI:10.1016/S0140–6736(07)61235–5.</w:t>
      </w:r>
    </w:p>
    <w:p w14:paraId="34930F22">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val="en-US" w:eastAsia="ru-RU"/>
        </w:rPr>
        <w:t>Grantham–McGregor S., Ani C. A Review of Studies on the Effect of Iron Deficiency on Cognitive Development in Children // J. Nutr.—2001.—</w:t>
      </w:r>
      <w:r>
        <w:rPr>
          <w:rFonts w:ascii="Times New Roman" w:hAnsi="Times New Roman" w:eastAsia="Times New Roman" w:cs="Times New Roman"/>
          <w:sz w:val="28"/>
          <w:szCs w:val="28"/>
          <w:lang w:eastAsia="ru-RU"/>
        </w:rPr>
        <w:t>Т</w:t>
      </w:r>
      <w:r>
        <w:rPr>
          <w:rFonts w:ascii="Times New Roman" w:hAnsi="Times New Roman" w:eastAsia="Times New Roman" w:cs="Times New Roman"/>
          <w:sz w:val="28"/>
          <w:szCs w:val="28"/>
          <w:lang w:val="en-US" w:eastAsia="ru-RU"/>
        </w:rPr>
        <w:t>.131.—</w:t>
      </w:r>
      <w:r>
        <w:rPr>
          <w:rFonts w:ascii="Times New Roman" w:hAnsi="Times New Roman" w:eastAsia="Times New Roman" w:cs="Times New Roman"/>
          <w:sz w:val="28"/>
          <w:szCs w:val="28"/>
          <w:lang w:eastAsia="ru-RU"/>
        </w:rPr>
        <w:t>Б</w:t>
      </w:r>
      <w:r>
        <w:rPr>
          <w:rFonts w:ascii="Times New Roman" w:hAnsi="Times New Roman" w:eastAsia="Times New Roman" w:cs="Times New Roman"/>
          <w:sz w:val="28"/>
          <w:szCs w:val="28"/>
          <w:lang w:val="en-US" w:eastAsia="ru-RU"/>
        </w:rPr>
        <w:t xml:space="preserve">.649–668. </w:t>
      </w:r>
      <w:r>
        <w:rPr>
          <w:rFonts w:ascii="Times New Roman" w:hAnsi="Times New Roman" w:eastAsia="Times New Roman" w:cs="Times New Roman"/>
          <w:sz w:val="28"/>
          <w:szCs w:val="28"/>
          <w:lang w:eastAsia="ru-RU"/>
        </w:rPr>
        <w:t>DOI: 10.1093/jn/131.2.649S.</w:t>
      </w:r>
    </w:p>
    <w:p w14:paraId="08B84CD8">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val="en-US" w:eastAsia="ru-RU"/>
        </w:rPr>
        <w:t xml:space="preserve">Lozoff B., Beard J., Connor J., Felt B., Georgieff M., Schallert T. Long–Lasting Neural and Behavioral Effects of Iron Deficiency in Infancy // Nutr. </w:t>
      </w:r>
      <w:r>
        <w:rPr>
          <w:rFonts w:ascii="Times New Roman" w:hAnsi="Times New Roman" w:eastAsia="Times New Roman" w:cs="Times New Roman"/>
          <w:sz w:val="28"/>
          <w:szCs w:val="28"/>
          <w:lang w:eastAsia="ru-RU"/>
        </w:rPr>
        <w:t>Rev.—2006.—Т. 64. — Б.34–91. DOI: 10.1301/nr.2006.may.s34–s43.</w:t>
      </w:r>
    </w:p>
    <w:p w14:paraId="2168A481">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val="en-US" w:eastAsia="ru-RU"/>
        </w:rPr>
        <w:t>Falkingham M., Abdelhamid A., Curtis P., Fairweather–Tait S., Dye L., Hooper L. The effects of oral iron supplementation on cognition in older children and adults: A systematic review and meta–analysis // Nutr. J. — 2010.—</w:t>
      </w:r>
      <w:r>
        <w:rPr>
          <w:rFonts w:ascii="Times New Roman" w:hAnsi="Times New Roman" w:eastAsia="Times New Roman" w:cs="Times New Roman"/>
          <w:sz w:val="28"/>
          <w:szCs w:val="28"/>
          <w:lang w:eastAsia="ru-RU"/>
        </w:rPr>
        <w:t>Т</w:t>
      </w:r>
      <w:r>
        <w:rPr>
          <w:rFonts w:ascii="Times New Roman" w:hAnsi="Times New Roman" w:eastAsia="Times New Roman" w:cs="Times New Roman"/>
          <w:sz w:val="28"/>
          <w:szCs w:val="28"/>
          <w:lang w:val="en-US" w:eastAsia="ru-RU"/>
        </w:rPr>
        <w:t>.9.—</w:t>
      </w:r>
      <w:r>
        <w:rPr>
          <w:rFonts w:ascii="Times New Roman" w:hAnsi="Times New Roman" w:eastAsia="Times New Roman" w:cs="Times New Roman"/>
          <w:sz w:val="28"/>
          <w:szCs w:val="28"/>
          <w:lang w:eastAsia="ru-RU"/>
        </w:rPr>
        <w:t>Б</w:t>
      </w:r>
      <w:r>
        <w:rPr>
          <w:rFonts w:ascii="Times New Roman" w:hAnsi="Times New Roman" w:eastAsia="Times New Roman" w:cs="Times New Roman"/>
          <w:sz w:val="28"/>
          <w:szCs w:val="28"/>
          <w:lang w:val="en-US" w:eastAsia="ru-RU"/>
        </w:rPr>
        <w:t xml:space="preserve">.4. </w:t>
      </w:r>
      <w:r>
        <w:rPr>
          <w:rFonts w:ascii="Times New Roman" w:hAnsi="Times New Roman" w:eastAsia="Times New Roman" w:cs="Times New Roman"/>
          <w:sz w:val="28"/>
          <w:szCs w:val="28"/>
          <w:lang w:eastAsia="ru-RU"/>
        </w:rPr>
        <w:t>DOI: 10.1186/1475–2891–9–4.</w:t>
      </w:r>
    </w:p>
    <w:p w14:paraId="467BBEE2">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val="en-US" w:eastAsia="ru-RU"/>
        </w:rPr>
        <w:t xml:space="preserve">Radlowski E.C., Johnson R.W. Perinatal iron deficiency and neurocognitive development // Front. </w:t>
      </w:r>
      <w:r>
        <w:rPr>
          <w:rFonts w:ascii="Times New Roman" w:hAnsi="Times New Roman" w:eastAsia="Times New Roman" w:cs="Times New Roman"/>
          <w:sz w:val="28"/>
          <w:szCs w:val="28"/>
          <w:lang w:eastAsia="ru-RU"/>
        </w:rPr>
        <w:t>Hum. Neurosci. —2013.— Т.7 —Б.585. DOI: 10.3389/fnhum.2013.00585.</w:t>
      </w:r>
    </w:p>
    <w:p w14:paraId="1456ABA9">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Vos T., Abajobir A.A., Abate K.H., Abbafati C., Abbas K.M., Abd–Allah F., Abdulkader R.S., Abdulle A.M., Abebo T.A., Abera S.F., et al. </w:t>
      </w:r>
      <w:r>
        <w:rPr>
          <w:rFonts w:ascii="Times New Roman" w:hAnsi="Times New Roman" w:eastAsia="Times New Roman" w:cs="Times New Roman"/>
          <w:sz w:val="28"/>
          <w:szCs w:val="28"/>
          <w:lang w:val="en-US" w:eastAsia="ru-RU"/>
        </w:rPr>
        <w:t xml:space="preserve">Global, regional, and national incidence, prevalence, and years lived with disability for 328 diseases and injuries for 195 countries, 1990–2016: A systematic analysis for the Global Burden of Disease Study 2016 // Lancet. —2017.— </w:t>
      </w:r>
      <w:r>
        <w:rPr>
          <w:rFonts w:ascii="Times New Roman" w:hAnsi="Times New Roman" w:eastAsia="Times New Roman" w:cs="Times New Roman"/>
          <w:sz w:val="28"/>
          <w:szCs w:val="28"/>
          <w:lang w:eastAsia="ru-RU"/>
        </w:rPr>
        <w:t>Т.390.— Б.1211–1259. DOI: 10.1016/S0140–6736(17)32154–2.</w:t>
      </w:r>
    </w:p>
    <w:p w14:paraId="5C0437C7">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val="en-US" w:eastAsia="ru-RU"/>
        </w:rPr>
        <w:t xml:space="preserve">Oliva K., Barker G., Riley C., Bailey M.J., Permezel M., Rice G.E., Lappas M. The effect of pre–existing maternal obesity on the placental proteome: Two–dimensional difference gel electrophoresis coupled with mass spectrometry // J. Mol. </w:t>
      </w:r>
      <w:r>
        <w:rPr>
          <w:rFonts w:ascii="Times New Roman" w:hAnsi="Times New Roman" w:eastAsia="Times New Roman" w:cs="Times New Roman"/>
          <w:sz w:val="28"/>
          <w:szCs w:val="28"/>
          <w:lang w:eastAsia="ru-RU"/>
        </w:rPr>
        <w:t>Endocrinol. — 2012. — Т.48. — Б.139–149. DOI: 10.1530/JME–11–0123.</w:t>
      </w:r>
    </w:p>
    <w:p w14:paraId="28DCAEC7">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val="en-US" w:eastAsia="ru-RU"/>
        </w:rPr>
        <w:t xml:space="preserve">Sewell M.F., Huston–Presley L., Super D.M., Catalano P. Increased neonatal fat mass, not lean body mass, is associated with maternal obesity // Am. J. Obstet. </w:t>
      </w:r>
      <w:r>
        <w:rPr>
          <w:rFonts w:ascii="Times New Roman" w:hAnsi="Times New Roman" w:eastAsia="Times New Roman" w:cs="Times New Roman"/>
          <w:sz w:val="28"/>
          <w:szCs w:val="28"/>
          <w:lang w:eastAsia="ru-RU"/>
        </w:rPr>
        <w:t>Gynecol. — 2006. — Т.195.—Б.1100–1103. DOI: 10.1016/j.ajog.2006.06.014.</w:t>
      </w:r>
    </w:p>
    <w:p w14:paraId="3529C7D5">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val="en-US" w:eastAsia="ru-RU"/>
        </w:rPr>
        <w:t>Shao J., Lou J., Rao R., Georgieff M.K., Kaciroti N., Felt B.T., Zhao Z.Y., Lozoff B. Maternal Serum Ferritin Concentration Is Positively Associated with Newborn Iron Stores in Women with Low Ferritin Status in Late Pregnancy // J. Nutr. —2012.—</w:t>
      </w:r>
      <w:r>
        <w:rPr>
          <w:rFonts w:ascii="Times New Roman" w:hAnsi="Times New Roman" w:eastAsia="Times New Roman" w:cs="Times New Roman"/>
          <w:sz w:val="28"/>
          <w:szCs w:val="28"/>
          <w:lang w:eastAsia="ru-RU"/>
        </w:rPr>
        <w:t>Т</w:t>
      </w:r>
      <w:r>
        <w:rPr>
          <w:rFonts w:ascii="Times New Roman" w:hAnsi="Times New Roman" w:eastAsia="Times New Roman" w:cs="Times New Roman"/>
          <w:sz w:val="28"/>
          <w:szCs w:val="28"/>
          <w:lang w:val="en-US" w:eastAsia="ru-RU"/>
        </w:rPr>
        <w:t>.142.—</w:t>
      </w:r>
      <w:r>
        <w:rPr>
          <w:rFonts w:ascii="Times New Roman" w:hAnsi="Times New Roman" w:eastAsia="Times New Roman" w:cs="Times New Roman"/>
          <w:sz w:val="28"/>
          <w:szCs w:val="28"/>
          <w:lang w:eastAsia="ru-RU"/>
        </w:rPr>
        <w:t>Б</w:t>
      </w:r>
      <w:r>
        <w:rPr>
          <w:rFonts w:ascii="Times New Roman" w:hAnsi="Times New Roman" w:eastAsia="Times New Roman" w:cs="Times New Roman"/>
          <w:sz w:val="28"/>
          <w:szCs w:val="28"/>
          <w:lang w:val="en-US" w:eastAsia="ru-RU"/>
        </w:rPr>
        <w:t xml:space="preserve">.2004–2009. </w:t>
      </w:r>
      <w:r>
        <w:rPr>
          <w:rFonts w:ascii="Times New Roman" w:hAnsi="Times New Roman" w:eastAsia="Times New Roman" w:cs="Times New Roman"/>
          <w:sz w:val="28"/>
          <w:szCs w:val="28"/>
          <w:lang w:eastAsia="ru-RU"/>
        </w:rPr>
        <w:t>DOI: 10.3945/jn.112.162362.</w:t>
      </w:r>
    </w:p>
    <w:p w14:paraId="1EE4116B">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val="en-US" w:eastAsia="ru-RU"/>
        </w:rPr>
        <w:t xml:space="preserve">Amin S.B., Orlando M., Wang H. Latent Iron Deficiency in Utero Is Associated with Abnormal Auditory Neural Myelination in ≥35 Weeks Gestational Age Infants // J. Perinatol. — 2013. — </w:t>
      </w:r>
      <w:r>
        <w:rPr>
          <w:rFonts w:ascii="Times New Roman" w:hAnsi="Times New Roman" w:eastAsia="Times New Roman" w:cs="Times New Roman"/>
          <w:sz w:val="28"/>
          <w:szCs w:val="28"/>
          <w:lang w:eastAsia="ru-RU"/>
        </w:rPr>
        <w:t>Т</w:t>
      </w:r>
      <w:r>
        <w:rPr>
          <w:rFonts w:ascii="Times New Roman" w:hAnsi="Times New Roman" w:eastAsia="Times New Roman" w:cs="Times New Roman"/>
          <w:sz w:val="28"/>
          <w:szCs w:val="28"/>
          <w:lang w:val="en-US" w:eastAsia="ru-RU"/>
        </w:rPr>
        <w:t xml:space="preserve">. 163. — P. 1267–1271. </w:t>
      </w:r>
      <w:r>
        <w:rPr>
          <w:rFonts w:ascii="Times New Roman" w:hAnsi="Times New Roman" w:eastAsia="Times New Roman" w:cs="Times New Roman"/>
          <w:sz w:val="28"/>
          <w:szCs w:val="28"/>
          <w:lang w:eastAsia="ru-RU"/>
        </w:rPr>
        <w:t>DOI: 10.1016/j.jpeds.2013.06.020.</w:t>
      </w:r>
    </w:p>
    <w:p w14:paraId="2E7D03F3">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val="en-US" w:eastAsia="ru-RU"/>
        </w:rPr>
        <w:t>Armony–Sivan R., Eidelman A.I., Lanir A., Sredni D., Yehuda S. Iron Status and Neurobehavioral Development of Premature Infants // J. Perinatol.—2004.—</w:t>
      </w:r>
      <w:r>
        <w:rPr>
          <w:rFonts w:ascii="Times New Roman" w:hAnsi="Times New Roman" w:eastAsia="Times New Roman" w:cs="Times New Roman"/>
          <w:sz w:val="28"/>
          <w:szCs w:val="28"/>
          <w:lang w:eastAsia="ru-RU"/>
        </w:rPr>
        <w:t>Т</w:t>
      </w:r>
      <w:r>
        <w:rPr>
          <w:rFonts w:ascii="Times New Roman" w:hAnsi="Times New Roman" w:eastAsia="Times New Roman" w:cs="Times New Roman"/>
          <w:sz w:val="28"/>
          <w:szCs w:val="28"/>
          <w:lang w:val="en-US" w:eastAsia="ru-RU"/>
        </w:rPr>
        <w:t xml:space="preserve">. </w:t>
      </w:r>
      <w:r>
        <w:rPr>
          <w:rFonts w:ascii="Times New Roman" w:hAnsi="Times New Roman" w:eastAsia="Times New Roman" w:cs="Times New Roman"/>
          <w:sz w:val="28"/>
          <w:szCs w:val="28"/>
          <w:lang w:eastAsia="ru-RU"/>
        </w:rPr>
        <w:t>24.—Б. 757–762. DOI: 10.1038/sj.jp.7211178.</w:t>
      </w:r>
    </w:p>
    <w:p w14:paraId="0D0D3F19">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val="en-US" w:eastAsia="ru-RU"/>
        </w:rPr>
        <w:t xml:space="preserve">Dosch N.C., Guslits E.F., Weber M.B., Murray S.E., Ha B., Coe C.L., Auger A.P., Kling P.J. Maternal Obesity Affects Inflammatory and Iron Indices in Umbilical Cord Blood // Physiol. </w:t>
      </w:r>
      <w:r>
        <w:rPr>
          <w:rFonts w:ascii="Times New Roman" w:hAnsi="Times New Roman" w:eastAsia="Times New Roman" w:cs="Times New Roman"/>
          <w:sz w:val="28"/>
          <w:szCs w:val="28"/>
          <w:lang w:eastAsia="ru-RU"/>
        </w:rPr>
        <w:t>Behav.—2016.—Т.172.—Б.20–28. DOI: 10.1016/j.jpeds.2016.02.023.</w:t>
      </w:r>
    </w:p>
    <w:p w14:paraId="503A4FF0">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val="en-US" w:eastAsia="ru-RU"/>
        </w:rPr>
        <w:t xml:space="preserve">MacQueen B.C., Christensen R.D., Baer V.L., Ward D.M., Snow G.L. Screening umbilical cord blood for congenital Iron deficiency // Blood Cells Mol. Dis.—2019.— </w:t>
      </w:r>
      <w:r>
        <w:rPr>
          <w:rFonts w:ascii="Times New Roman" w:hAnsi="Times New Roman" w:eastAsia="Times New Roman" w:cs="Times New Roman"/>
          <w:sz w:val="28"/>
          <w:szCs w:val="28"/>
          <w:lang w:eastAsia="ru-RU"/>
        </w:rPr>
        <w:t>Т.77.—Б.95–100. DOI: 10.1016/j.bcmd.2019.04.005.</w:t>
      </w:r>
    </w:p>
    <w:p w14:paraId="68198A52">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val="en-US" w:eastAsia="ru-RU"/>
        </w:rPr>
        <w:t>Phillips A.K., Roy S.C., Lundberg R., Guilbert T.W., Auger A.P., Blohowiak S.E., Coe C.L., Kling P.J. Neonatal iron status is impaired by maternal obesity and excessive weight gain during pregnancy // J. Perinatol.—2014.—</w:t>
      </w:r>
      <w:r>
        <w:rPr>
          <w:rFonts w:ascii="Times New Roman" w:hAnsi="Times New Roman" w:eastAsia="Times New Roman" w:cs="Times New Roman"/>
          <w:sz w:val="28"/>
          <w:szCs w:val="28"/>
          <w:lang w:eastAsia="ru-RU"/>
        </w:rPr>
        <w:t>Т</w:t>
      </w:r>
      <w:r>
        <w:rPr>
          <w:rFonts w:ascii="Times New Roman" w:hAnsi="Times New Roman" w:eastAsia="Times New Roman" w:cs="Times New Roman"/>
          <w:sz w:val="28"/>
          <w:szCs w:val="28"/>
          <w:lang w:val="en-US" w:eastAsia="ru-RU"/>
        </w:rPr>
        <w:t>.34.—</w:t>
      </w:r>
      <w:r>
        <w:rPr>
          <w:rFonts w:ascii="Times New Roman" w:hAnsi="Times New Roman" w:eastAsia="Times New Roman" w:cs="Times New Roman"/>
          <w:sz w:val="28"/>
          <w:szCs w:val="28"/>
          <w:lang w:eastAsia="ru-RU"/>
        </w:rPr>
        <w:t>Б</w:t>
      </w:r>
      <w:r>
        <w:rPr>
          <w:rFonts w:ascii="Times New Roman" w:hAnsi="Times New Roman" w:eastAsia="Times New Roman" w:cs="Times New Roman"/>
          <w:sz w:val="28"/>
          <w:szCs w:val="28"/>
          <w:lang w:val="en-US" w:eastAsia="ru-RU"/>
        </w:rPr>
        <w:t xml:space="preserve">.513–518. </w:t>
      </w:r>
      <w:r>
        <w:rPr>
          <w:rFonts w:ascii="Times New Roman" w:hAnsi="Times New Roman" w:eastAsia="Times New Roman" w:cs="Times New Roman"/>
          <w:sz w:val="28"/>
          <w:szCs w:val="28"/>
          <w:lang w:eastAsia="ru-RU"/>
        </w:rPr>
        <w:t>DOI: 10.1038/jp.2014.42.</w:t>
      </w:r>
    </w:p>
    <w:p w14:paraId="36DC475A">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val="en-US" w:eastAsia="ru-RU"/>
        </w:rPr>
        <w:t xml:space="preserve">Baumgartner J., Smuts C.M., Aeberli I., Malan L., Tjalsma H., Zimmermann M.B. Overweight impairs efficacy of iron supplementation in iron–deficient South African children: A randomized controlled intervention // Int. J. Obes. </w:t>
      </w:r>
      <w:r>
        <w:rPr>
          <w:rFonts w:ascii="Times New Roman" w:hAnsi="Times New Roman" w:eastAsia="Times New Roman" w:cs="Times New Roman"/>
          <w:sz w:val="28"/>
          <w:szCs w:val="28"/>
          <w:lang w:eastAsia="ru-RU"/>
        </w:rPr>
        <w:t>(Lond).—2013.—Т.37.—Б.24–30. DOI: 10.1038/ijo.2012.145.</w:t>
      </w:r>
    </w:p>
    <w:p w14:paraId="3BAA2030">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val="en-US" w:eastAsia="ru-RU"/>
        </w:rPr>
        <w:t xml:space="preserve">Teng I.C., Tseng S.H., Aulia B., Shih C.K., Bai C.H., Chang J.S. Can diet–induced weight loss improve iron homoeostasis in patients with obesity: A systematic review and meta–analysis // Obes. </w:t>
      </w:r>
      <w:r>
        <w:rPr>
          <w:rFonts w:ascii="Times New Roman" w:hAnsi="Times New Roman" w:eastAsia="Times New Roman" w:cs="Times New Roman"/>
          <w:sz w:val="28"/>
          <w:szCs w:val="28"/>
          <w:lang w:eastAsia="ru-RU"/>
        </w:rPr>
        <w:t>Rev.—2020.—Т.21.—Б.13080. DOI: 10.1111/obr.13080.</w:t>
      </w:r>
    </w:p>
    <w:p w14:paraId="44ABDBFF">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val="en-US" w:eastAsia="ru-RU"/>
        </w:rPr>
        <w:t>Chang J.S., Li Y.L., Lu C.H., Owaga E., Chen W.Y., Chiou H.Y. Interleukin–10 as a potential regulator of hepcidin homeostasis in overweight and obese children: A cross–sectional study in Taiwan // Nutrition.—2014.—</w:t>
      </w:r>
      <w:r>
        <w:rPr>
          <w:rFonts w:ascii="Times New Roman" w:hAnsi="Times New Roman" w:eastAsia="Times New Roman" w:cs="Times New Roman"/>
          <w:sz w:val="28"/>
          <w:szCs w:val="28"/>
          <w:lang w:eastAsia="ru-RU"/>
        </w:rPr>
        <w:t>Т</w:t>
      </w:r>
      <w:r>
        <w:rPr>
          <w:rFonts w:ascii="Times New Roman" w:hAnsi="Times New Roman" w:eastAsia="Times New Roman" w:cs="Times New Roman"/>
          <w:sz w:val="28"/>
          <w:szCs w:val="28"/>
          <w:lang w:val="en-US" w:eastAsia="ru-RU"/>
        </w:rPr>
        <w:t>.30.—</w:t>
      </w:r>
      <w:r>
        <w:rPr>
          <w:rFonts w:ascii="Times New Roman" w:hAnsi="Times New Roman" w:eastAsia="Times New Roman" w:cs="Times New Roman"/>
          <w:sz w:val="28"/>
          <w:szCs w:val="28"/>
          <w:lang w:eastAsia="ru-RU"/>
        </w:rPr>
        <w:t>Б</w:t>
      </w:r>
      <w:r>
        <w:rPr>
          <w:rFonts w:ascii="Times New Roman" w:hAnsi="Times New Roman" w:eastAsia="Times New Roman" w:cs="Times New Roman"/>
          <w:sz w:val="28"/>
          <w:szCs w:val="28"/>
          <w:lang w:val="en-US" w:eastAsia="ru-RU"/>
        </w:rPr>
        <w:t xml:space="preserve">.1165–1170. </w:t>
      </w:r>
      <w:r>
        <w:rPr>
          <w:rFonts w:ascii="Times New Roman" w:hAnsi="Times New Roman" w:eastAsia="Times New Roman" w:cs="Times New Roman"/>
          <w:sz w:val="28"/>
          <w:szCs w:val="28"/>
          <w:lang w:eastAsia="ru-RU"/>
        </w:rPr>
        <w:t>DOI: 10.1016/j.nut.2014.02.021.</w:t>
      </w:r>
    </w:p>
    <w:p w14:paraId="5EB9EFEA">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bCs/>
          <w:sz w:val="28"/>
          <w:szCs w:val="28"/>
          <w:lang w:val="en-US" w:eastAsia="ru-RU"/>
        </w:rPr>
      </w:pPr>
      <w:r>
        <w:rPr>
          <w:rFonts w:ascii="Times New Roman" w:hAnsi="Times New Roman" w:eastAsia="Times New Roman" w:cs="Times New Roman"/>
          <w:bCs/>
          <w:sz w:val="28"/>
          <w:szCs w:val="28"/>
          <w:lang w:val="en-US" w:eastAsia="ru-RU"/>
        </w:rPr>
        <w:t xml:space="preserve">Tayzhanova D.Z., Rustembekkyzy Z., Komlichenko E.V., Ponamaryova O., Zhanabayeva S. Association of inflammatory mediators and molecular markers of iron metabolism in pregnancies with pregestational obesity during the development of anaemia: a narrative review // Ital J Gynaecol Obstet. – 2024. T.36(3). – </w:t>
      </w:r>
      <w:r>
        <w:rPr>
          <w:rFonts w:ascii="Times New Roman" w:hAnsi="Times New Roman" w:eastAsia="Times New Roman" w:cs="Times New Roman"/>
          <w:bCs/>
          <w:sz w:val="28"/>
          <w:szCs w:val="28"/>
          <w:lang w:eastAsia="ru-RU"/>
        </w:rPr>
        <w:t>Б</w:t>
      </w:r>
      <w:r>
        <w:rPr>
          <w:rFonts w:ascii="Times New Roman" w:hAnsi="Times New Roman" w:eastAsia="Times New Roman" w:cs="Times New Roman"/>
          <w:bCs/>
          <w:sz w:val="28"/>
          <w:szCs w:val="28"/>
          <w:lang w:val="en-US" w:eastAsia="ru-RU"/>
        </w:rPr>
        <w:t>.272-280.</w:t>
      </w:r>
      <w:r>
        <w:rPr>
          <w:bCs/>
          <w:lang w:val="en-US"/>
        </w:rPr>
        <w:t xml:space="preserve"> </w:t>
      </w:r>
      <w:r>
        <w:rPr>
          <w:rFonts w:ascii="Times New Roman" w:hAnsi="Times New Roman" w:eastAsia="Times New Roman" w:cs="Times New Roman"/>
          <w:bCs/>
          <w:sz w:val="28"/>
          <w:szCs w:val="28"/>
          <w:lang w:val="en-US" w:eastAsia="ru-RU"/>
        </w:rPr>
        <w:t xml:space="preserve">DOI: 10.36129/jog.2023.137 </w:t>
      </w:r>
    </w:p>
    <w:p w14:paraId="3F4047A0">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 xml:space="preserve"> Koenig M.D., Tussing–Humphreys L., Day J., Cadwell B., Nemeth E. Hepcidin and Iron Homeostasis during Pregnancy // Nutrients.—2014.—</w:t>
      </w:r>
      <w:r>
        <w:rPr>
          <w:rFonts w:ascii="Times New Roman" w:hAnsi="Times New Roman" w:eastAsia="Times New Roman" w:cs="Times New Roman"/>
          <w:sz w:val="28"/>
          <w:szCs w:val="28"/>
          <w:lang w:eastAsia="ru-RU"/>
        </w:rPr>
        <w:t>Т</w:t>
      </w:r>
      <w:r>
        <w:rPr>
          <w:rFonts w:ascii="Times New Roman" w:hAnsi="Times New Roman" w:eastAsia="Times New Roman" w:cs="Times New Roman"/>
          <w:sz w:val="28"/>
          <w:szCs w:val="28"/>
          <w:lang w:val="en-US" w:eastAsia="ru-RU"/>
        </w:rPr>
        <w:t>.6.—</w:t>
      </w:r>
      <w:r>
        <w:rPr>
          <w:rFonts w:ascii="Times New Roman" w:hAnsi="Times New Roman" w:eastAsia="Times New Roman" w:cs="Times New Roman"/>
          <w:sz w:val="28"/>
          <w:szCs w:val="28"/>
          <w:lang w:eastAsia="ru-RU"/>
        </w:rPr>
        <w:t>Б</w:t>
      </w:r>
      <w:r>
        <w:rPr>
          <w:rFonts w:ascii="Times New Roman" w:hAnsi="Times New Roman" w:eastAsia="Times New Roman" w:cs="Times New Roman"/>
          <w:sz w:val="28"/>
          <w:szCs w:val="28"/>
          <w:lang w:val="en-US" w:eastAsia="ru-RU"/>
        </w:rPr>
        <w:t>.3062–3083. DOI: 10.3390/nu6083062.</w:t>
      </w:r>
    </w:p>
    <w:p w14:paraId="2008A9E8">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Koenig M.D., Klikuszowian E., O’Brien K.O., Pauls H., Steffen A., Demartelly V., Ruchob R., Welke L., Hemphill N., LaBomascus B., et al. Prepregnancy Obesity Is Not Associated with Iron Utilization during the Third Trimester // J. Nutr.—2020.—</w:t>
      </w:r>
      <w:r>
        <w:rPr>
          <w:rFonts w:ascii="Times New Roman" w:hAnsi="Times New Roman" w:eastAsia="Times New Roman" w:cs="Times New Roman"/>
          <w:sz w:val="28"/>
          <w:szCs w:val="28"/>
          <w:lang w:eastAsia="ru-RU"/>
        </w:rPr>
        <w:t>Т</w:t>
      </w:r>
      <w:r>
        <w:rPr>
          <w:rFonts w:ascii="Times New Roman" w:hAnsi="Times New Roman" w:eastAsia="Times New Roman" w:cs="Times New Roman"/>
          <w:sz w:val="28"/>
          <w:szCs w:val="28"/>
          <w:lang w:val="en-US" w:eastAsia="ru-RU"/>
        </w:rPr>
        <w:t>.150.—</w:t>
      </w:r>
      <w:r>
        <w:rPr>
          <w:rFonts w:ascii="Times New Roman" w:hAnsi="Times New Roman" w:eastAsia="Times New Roman" w:cs="Times New Roman"/>
          <w:sz w:val="28"/>
          <w:szCs w:val="28"/>
          <w:lang w:eastAsia="ru-RU"/>
        </w:rPr>
        <w:t>Б</w:t>
      </w:r>
      <w:r>
        <w:rPr>
          <w:rFonts w:ascii="Times New Roman" w:hAnsi="Times New Roman" w:eastAsia="Times New Roman" w:cs="Times New Roman"/>
          <w:sz w:val="28"/>
          <w:szCs w:val="28"/>
          <w:lang w:val="en-US" w:eastAsia="ru-RU"/>
        </w:rPr>
        <w:t>.1397–1404. DOI: 10.1093/jn/nxaa065.</w:t>
      </w:r>
    </w:p>
    <w:p w14:paraId="076AE886">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val="en-US" w:eastAsia="ru-RU"/>
        </w:rPr>
        <w:t xml:space="preserve">Jones A.D., Zhao G., Jiang Y.P., Zhou M., Xu G., Kaciroti N., Zhang Z., Lozoff B. Maternal obesity during pregnancy is negatively associated with maternal and neonatal iron status // Eur. J. Clin. </w:t>
      </w:r>
      <w:r>
        <w:rPr>
          <w:rFonts w:ascii="Times New Roman" w:hAnsi="Times New Roman" w:eastAsia="Times New Roman" w:cs="Times New Roman"/>
          <w:sz w:val="28"/>
          <w:szCs w:val="28"/>
          <w:lang w:eastAsia="ru-RU"/>
        </w:rPr>
        <w:t>Nutr.—2016.—Т.70.—Б.918–924. DOI: 10.1038/ejcn.2015.229.</w:t>
      </w:r>
    </w:p>
    <w:p w14:paraId="2B671BD9">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val="en-US" w:eastAsia="ru-RU"/>
        </w:rPr>
        <w:t xml:space="preserve">Fallatah A.M., Babatin H.M., Nassibi K.M., Banweer M.K., Fayoumi M.N., Oraif A.M. Maternal and Neonatal Outcomes among Obese Pregnant Women in King Abdulaziz University Hospital: A Retrospective Single–Center Medical Record Review // Med. </w:t>
      </w:r>
      <w:r>
        <w:rPr>
          <w:rFonts w:ascii="Times New Roman" w:hAnsi="Times New Roman" w:eastAsia="Times New Roman" w:cs="Times New Roman"/>
          <w:sz w:val="28"/>
          <w:szCs w:val="28"/>
          <w:lang w:eastAsia="ru-RU"/>
        </w:rPr>
        <w:t>Arch.—2019.—Т.73.—Б.425–432. DOI: 10.5455/medarh.2019.73.425–432.</w:t>
      </w:r>
    </w:p>
    <w:p w14:paraId="2DA40C08">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val="en-US" w:eastAsia="ru-RU"/>
        </w:rPr>
        <w:t xml:space="preserve">Blomberg M. Maternal Obesity and Risk of Postpartum Hemorrhage // Obstet. </w:t>
      </w:r>
      <w:r>
        <w:rPr>
          <w:rFonts w:ascii="Times New Roman" w:hAnsi="Times New Roman" w:eastAsia="Times New Roman" w:cs="Times New Roman"/>
          <w:sz w:val="28"/>
          <w:szCs w:val="28"/>
          <w:lang w:eastAsia="ru-RU"/>
        </w:rPr>
        <w:t>Gynecol.—2011.—Т.118.—Б.561–568. DOI: 10.1097/AOG.0b013e31822a6c59.</w:t>
      </w:r>
    </w:p>
    <w:p w14:paraId="096E4B3A">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val="en-US" w:eastAsia="ru-RU"/>
        </w:rPr>
        <w:t xml:space="preserve">Shields L.E., Goffman D., Caughey A.B. Postpartum hemorrhage // Am. </w:t>
      </w:r>
      <w:r>
        <w:rPr>
          <w:rFonts w:ascii="Times New Roman" w:hAnsi="Times New Roman" w:eastAsia="Times New Roman" w:cs="Times New Roman"/>
          <w:sz w:val="28"/>
          <w:szCs w:val="28"/>
          <w:lang w:eastAsia="ru-RU"/>
        </w:rPr>
        <w:t>Coll. Obstet. Gynecol. Pract. Bull.—2017.—Т.130.—Б.168–186.</w:t>
      </w:r>
    </w:p>
    <w:p w14:paraId="6748AC03">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val="en-US" w:eastAsia="ru-RU"/>
        </w:rPr>
        <w:t>Butwick A.J., Abreo A., Bateman B.T., Lee H.C., El–Sayed Y.Y., Stephansson O., Flood P. Effect of Maternal Body Mass Index on Postpartum Hemorrhage // Anesthesiology.—2018.—</w:t>
      </w:r>
      <w:r>
        <w:rPr>
          <w:rFonts w:ascii="Times New Roman" w:hAnsi="Times New Roman" w:eastAsia="Times New Roman" w:cs="Times New Roman"/>
          <w:sz w:val="28"/>
          <w:szCs w:val="28"/>
          <w:lang w:eastAsia="ru-RU"/>
        </w:rPr>
        <w:t>Т</w:t>
      </w:r>
      <w:r>
        <w:rPr>
          <w:rFonts w:ascii="Times New Roman" w:hAnsi="Times New Roman" w:eastAsia="Times New Roman" w:cs="Times New Roman"/>
          <w:sz w:val="28"/>
          <w:szCs w:val="28"/>
          <w:lang w:val="en-US" w:eastAsia="ru-RU"/>
        </w:rPr>
        <w:t>.128.—</w:t>
      </w:r>
      <w:r>
        <w:rPr>
          <w:rFonts w:ascii="Times New Roman" w:hAnsi="Times New Roman" w:eastAsia="Times New Roman" w:cs="Times New Roman"/>
          <w:sz w:val="28"/>
          <w:szCs w:val="28"/>
          <w:lang w:eastAsia="ru-RU"/>
        </w:rPr>
        <w:t>Б</w:t>
      </w:r>
      <w:r>
        <w:rPr>
          <w:rFonts w:ascii="Times New Roman" w:hAnsi="Times New Roman" w:eastAsia="Times New Roman" w:cs="Times New Roman"/>
          <w:sz w:val="28"/>
          <w:szCs w:val="28"/>
          <w:lang w:val="en-US" w:eastAsia="ru-RU"/>
        </w:rPr>
        <w:t xml:space="preserve">.774–783. </w:t>
      </w:r>
      <w:r>
        <w:rPr>
          <w:rFonts w:ascii="Times New Roman" w:hAnsi="Times New Roman" w:eastAsia="Times New Roman" w:cs="Times New Roman"/>
          <w:sz w:val="28"/>
          <w:szCs w:val="28"/>
          <w:lang w:eastAsia="ru-RU"/>
        </w:rPr>
        <w:t>DOI: 10.1097/ALN.0000000000002082.</w:t>
      </w:r>
    </w:p>
    <w:p w14:paraId="69FBD4EA">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val="en-US" w:eastAsia="ru-RU"/>
        </w:rPr>
        <w:t xml:space="preserve">Hawkins M., Pekow P., Chasan–Taber L. Physical Activity, Sedentary Behavior, and C–reactive Protein in Pregnancy // Med. Sci. </w:t>
      </w:r>
      <w:r>
        <w:rPr>
          <w:rFonts w:ascii="Times New Roman" w:hAnsi="Times New Roman" w:eastAsia="Times New Roman" w:cs="Times New Roman"/>
          <w:sz w:val="28"/>
          <w:szCs w:val="28"/>
          <w:lang w:eastAsia="ru-RU"/>
        </w:rPr>
        <w:t>Sports Exerc.—2014.—Т.46.—Б.284–292. DOI: 10.1249/MSS.0b013e3182a44767.</w:t>
      </w:r>
    </w:p>
    <w:p w14:paraId="7D240F70">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val="en-US" w:eastAsia="ru-RU"/>
        </w:rPr>
        <w:t xml:space="preserve">Tinius R.A., Cahill A.G., Strand E.A., Todd Cade W. Maternal inflammation during late pregnancy is lower in physically active compared to inactive obese women // Appl. </w:t>
      </w:r>
      <w:r>
        <w:rPr>
          <w:rFonts w:ascii="Times New Roman" w:hAnsi="Times New Roman" w:eastAsia="Times New Roman" w:cs="Times New Roman"/>
          <w:sz w:val="28"/>
          <w:szCs w:val="28"/>
          <w:lang w:eastAsia="ru-RU"/>
        </w:rPr>
        <w:t>Physiol. Nutr. Metab.—2016.—Т.41.—Б.191–198. DOI: 10.1139/apnm–2015–0316.</w:t>
      </w:r>
    </w:p>
    <w:p w14:paraId="6B71343F">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val="en-US" w:eastAsia="ru-RU"/>
        </w:rPr>
        <w:t>Renault K.M., Carlsen E.M., Hædersdal S., Nilas L., Secher N.J., Eugen–Olsen J., Cortes D., Olsen S.F., Halldorsson T.I., Nørgaard K. Impact of lifestyle intervention for obese women during pregnancy on maternal metabolic and inflammatory markers // Int. J. Obes.—2017.—</w:t>
      </w:r>
      <w:r>
        <w:rPr>
          <w:rFonts w:ascii="Times New Roman" w:hAnsi="Times New Roman" w:eastAsia="Times New Roman" w:cs="Times New Roman"/>
          <w:sz w:val="28"/>
          <w:szCs w:val="28"/>
          <w:lang w:eastAsia="ru-RU"/>
        </w:rPr>
        <w:t>Т</w:t>
      </w:r>
      <w:r>
        <w:rPr>
          <w:rFonts w:ascii="Times New Roman" w:hAnsi="Times New Roman" w:eastAsia="Times New Roman" w:cs="Times New Roman"/>
          <w:sz w:val="28"/>
          <w:szCs w:val="28"/>
          <w:lang w:val="en-US" w:eastAsia="ru-RU"/>
        </w:rPr>
        <w:t xml:space="preserve">.41.—P.598–605. </w:t>
      </w:r>
      <w:r>
        <w:rPr>
          <w:rFonts w:ascii="Times New Roman" w:hAnsi="Times New Roman" w:eastAsia="Times New Roman" w:cs="Times New Roman"/>
          <w:sz w:val="28"/>
          <w:szCs w:val="28"/>
          <w:lang w:eastAsia="ru-RU"/>
        </w:rPr>
        <w:t>DOI: 10.1038/ijo.2017.9.</w:t>
      </w:r>
    </w:p>
    <w:p w14:paraId="70EE38C3">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val="en-US" w:eastAsia="ru-RU"/>
        </w:rPr>
        <w:t xml:space="preserve">Liew P.X., Kubes P. The neutrophil’s role during health and disease // Physiol. </w:t>
      </w:r>
      <w:r>
        <w:rPr>
          <w:rFonts w:ascii="Times New Roman" w:hAnsi="Times New Roman" w:eastAsia="Times New Roman" w:cs="Times New Roman"/>
          <w:sz w:val="28"/>
          <w:szCs w:val="28"/>
          <w:lang w:eastAsia="ru-RU"/>
        </w:rPr>
        <w:t>Rev.—2019.—Т.99.—Б.1223–1248. DOI: 10.1152/physrev.00012.2018.</w:t>
      </w:r>
    </w:p>
    <w:p w14:paraId="7E0495FC">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Қабыну маркерлерінің мен темір алмасуы деңгейлері бойынша деректер (IL–6, CRP, hepcidin, EPO, ferritin) Cloud–Clone сайтының мәліметтеріне негізделген. Дереккөз: Cloud–Clone Corp. ELISA Kit. URL: </w:t>
      </w:r>
      <w:r>
        <w:fldChar w:fldCharType="begin"/>
      </w:r>
      <w:r>
        <w:instrText xml:space="preserve"> HYPERLINK "https://www.cloud-clone.com/products" </w:instrText>
      </w:r>
      <w:r>
        <w:fldChar w:fldCharType="separate"/>
      </w:r>
      <w:r>
        <w:rPr>
          <w:rFonts w:ascii="Times New Roman" w:hAnsi="Times New Roman" w:eastAsia="Times New Roman" w:cs="Times New Roman"/>
          <w:color w:val="0000FF"/>
          <w:sz w:val="28"/>
          <w:szCs w:val="28"/>
          <w:u w:val="single"/>
          <w:lang w:eastAsia="ru-RU"/>
        </w:rPr>
        <w:t>https://www.cloud–clone.com/products</w:t>
      </w:r>
      <w:r>
        <w:rPr>
          <w:rFonts w:ascii="Times New Roman" w:hAnsi="Times New Roman" w:eastAsia="Times New Roman" w:cs="Times New Roman"/>
          <w:color w:val="0000FF"/>
          <w:sz w:val="28"/>
          <w:szCs w:val="28"/>
          <w:u w:val="single"/>
          <w:lang w:eastAsia="ru-RU"/>
        </w:rPr>
        <w:fldChar w:fldCharType="end"/>
      </w:r>
      <w:r>
        <w:rPr>
          <w:rFonts w:ascii="Times New Roman" w:hAnsi="Times New Roman" w:eastAsia="Times New Roman" w:cs="Times New Roman"/>
          <w:sz w:val="28"/>
          <w:szCs w:val="28"/>
          <w:lang w:eastAsia="ru-RU"/>
        </w:rPr>
        <w:t xml:space="preserve">  (қолданылған күні: 30.12.2024ж).</w:t>
      </w:r>
    </w:p>
    <w:p w14:paraId="10FADC36">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val="en-US" w:eastAsia="ru-RU"/>
        </w:rPr>
        <w:t xml:space="preserve">Fine N., Tasevski N., McCulloch C.A., Tenenbaum H.C., Glogauer M. The neutrophil: Constant defender and first responder // Front. </w:t>
      </w:r>
      <w:r>
        <w:rPr>
          <w:rFonts w:ascii="Times New Roman" w:hAnsi="Times New Roman" w:eastAsia="Times New Roman" w:cs="Times New Roman"/>
          <w:sz w:val="28"/>
          <w:szCs w:val="28"/>
          <w:lang w:eastAsia="ru-RU"/>
        </w:rPr>
        <w:t>Immunol.—2020.—Т.11.—Б.571. DOI: 10.3389/fimmu.2020.571085.</w:t>
      </w:r>
    </w:p>
    <w:p w14:paraId="02DEBA3E">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val="en-US" w:eastAsia="ru-RU"/>
        </w:rPr>
        <w:t xml:space="preserve">Uribe–Querol E., Rosales C. Phagocytosis: Our current understanding of a universal biological process // Front. </w:t>
      </w:r>
      <w:r>
        <w:rPr>
          <w:rFonts w:ascii="Times New Roman" w:hAnsi="Times New Roman" w:eastAsia="Times New Roman" w:cs="Times New Roman"/>
          <w:sz w:val="28"/>
          <w:szCs w:val="28"/>
          <w:lang w:eastAsia="ru-RU"/>
        </w:rPr>
        <w:t>Immunol.—2020.—Т.11.—Б.1066. DOI: 10.3389/fimmu.2020.01066.</w:t>
      </w:r>
    </w:p>
    <w:p w14:paraId="359B9FF6">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val="en-US" w:eastAsia="ru-RU"/>
        </w:rPr>
        <w:t xml:space="preserve">Rosales C., Lowell C.A., Schnoor M., Uribe–Querol E. Neutrophils: Their role in innate and adaptive immunity // J. Immunol. </w:t>
      </w:r>
      <w:r>
        <w:rPr>
          <w:rFonts w:ascii="Times New Roman" w:hAnsi="Times New Roman" w:eastAsia="Times New Roman" w:cs="Times New Roman"/>
          <w:sz w:val="28"/>
          <w:szCs w:val="28"/>
          <w:lang w:eastAsia="ru-RU"/>
        </w:rPr>
        <w:t>Res.—2017.—Т.2017.—Б.9748345. DOI: 10.1155/2017/9748345.</w:t>
      </w:r>
    </w:p>
    <w:p w14:paraId="2E546621">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val="en-US" w:eastAsia="ru-RU"/>
        </w:rPr>
        <w:t>Rosales C., Uribe–Querol E. Phagocytosis: A fundamental process in immunity // BioMed Res. Int.—2017.—</w:t>
      </w:r>
      <w:r>
        <w:rPr>
          <w:rFonts w:ascii="Times New Roman" w:hAnsi="Times New Roman" w:eastAsia="Times New Roman" w:cs="Times New Roman"/>
          <w:sz w:val="28"/>
          <w:szCs w:val="28"/>
          <w:lang w:eastAsia="ru-RU"/>
        </w:rPr>
        <w:t>Т</w:t>
      </w:r>
      <w:r>
        <w:rPr>
          <w:rFonts w:ascii="Times New Roman" w:hAnsi="Times New Roman" w:eastAsia="Times New Roman" w:cs="Times New Roman"/>
          <w:sz w:val="28"/>
          <w:szCs w:val="28"/>
          <w:lang w:val="en-US" w:eastAsia="ru-RU"/>
        </w:rPr>
        <w:t>.2017.—</w:t>
      </w:r>
      <w:r>
        <w:rPr>
          <w:rFonts w:ascii="Times New Roman" w:hAnsi="Times New Roman" w:eastAsia="Times New Roman" w:cs="Times New Roman"/>
          <w:sz w:val="28"/>
          <w:szCs w:val="28"/>
          <w:lang w:eastAsia="ru-RU"/>
        </w:rPr>
        <w:t>Б</w:t>
      </w:r>
      <w:r>
        <w:rPr>
          <w:rFonts w:ascii="Times New Roman" w:hAnsi="Times New Roman" w:eastAsia="Times New Roman" w:cs="Times New Roman"/>
          <w:sz w:val="28"/>
          <w:szCs w:val="28"/>
          <w:lang w:val="en-US" w:eastAsia="ru-RU"/>
        </w:rPr>
        <w:t xml:space="preserve">.9042851. </w:t>
      </w:r>
      <w:r>
        <w:rPr>
          <w:rFonts w:ascii="Times New Roman" w:hAnsi="Times New Roman" w:eastAsia="Times New Roman" w:cs="Times New Roman"/>
          <w:sz w:val="28"/>
          <w:szCs w:val="28"/>
          <w:lang w:eastAsia="ru-RU"/>
        </w:rPr>
        <w:t>DOI: 10.1155/2017/9042851.</w:t>
      </w:r>
    </w:p>
    <w:p w14:paraId="76DECE96">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val="en-US" w:eastAsia="ru-RU"/>
        </w:rPr>
        <w:t>Herishanu Y., Rogowski O., Polliack A., Marilus R. Leukocytosis in obese individuals: Possible link in patients with unexplained persistent neutrophilia // Eur. J. Haematol.—2006.—</w:t>
      </w:r>
      <w:r>
        <w:rPr>
          <w:rFonts w:ascii="Times New Roman" w:hAnsi="Times New Roman" w:eastAsia="Times New Roman" w:cs="Times New Roman"/>
          <w:sz w:val="28"/>
          <w:szCs w:val="28"/>
          <w:lang w:eastAsia="ru-RU"/>
        </w:rPr>
        <w:t>Т</w:t>
      </w:r>
      <w:r>
        <w:rPr>
          <w:rFonts w:ascii="Times New Roman" w:hAnsi="Times New Roman" w:eastAsia="Times New Roman" w:cs="Times New Roman"/>
          <w:sz w:val="28"/>
          <w:szCs w:val="28"/>
          <w:lang w:val="en-US" w:eastAsia="ru-RU"/>
        </w:rPr>
        <w:t>.76.—</w:t>
      </w:r>
      <w:r>
        <w:rPr>
          <w:rFonts w:ascii="Times New Roman" w:hAnsi="Times New Roman" w:eastAsia="Times New Roman" w:cs="Times New Roman"/>
          <w:sz w:val="28"/>
          <w:szCs w:val="28"/>
          <w:lang w:eastAsia="ru-RU"/>
        </w:rPr>
        <w:t>Б</w:t>
      </w:r>
      <w:r>
        <w:rPr>
          <w:rFonts w:ascii="Times New Roman" w:hAnsi="Times New Roman" w:eastAsia="Times New Roman" w:cs="Times New Roman"/>
          <w:sz w:val="28"/>
          <w:szCs w:val="28"/>
          <w:lang w:val="en-US" w:eastAsia="ru-RU"/>
        </w:rPr>
        <w:t xml:space="preserve">.516–520. </w:t>
      </w:r>
      <w:r>
        <w:rPr>
          <w:rFonts w:ascii="Times New Roman" w:hAnsi="Times New Roman" w:eastAsia="Times New Roman" w:cs="Times New Roman"/>
          <w:sz w:val="28"/>
          <w:szCs w:val="28"/>
          <w:lang w:eastAsia="ru-RU"/>
        </w:rPr>
        <w:t>DOI: 10.1111/j.1600–0609.2006.00658.x.</w:t>
      </w:r>
    </w:p>
    <w:p w14:paraId="09D33D61">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val="en-US" w:eastAsia="ru-RU"/>
        </w:rPr>
        <w:t xml:space="preserve">Eren C., Cecen S. The relationship between childhood obesity with inflammatory mediator // J. Pak. Med. </w:t>
      </w:r>
      <w:r>
        <w:rPr>
          <w:rFonts w:ascii="Times New Roman" w:hAnsi="Times New Roman" w:eastAsia="Times New Roman" w:cs="Times New Roman"/>
          <w:sz w:val="28"/>
          <w:szCs w:val="28"/>
          <w:lang w:eastAsia="ru-RU"/>
        </w:rPr>
        <w:t>Assoc.—2020.—Т.70.—Б. 1737–1741. DOI: 10.5455/JPMA.27772.</w:t>
      </w:r>
    </w:p>
    <w:p w14:paraId="3D890CBA">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Weir A.B., Lewis J.B., Jr. Arteta–Bulos R. Chronic idiopathic neutrophilia: Experience and recommendations // South. Med. J.—2011.—</w:t>
      </w:r>
      <w:r>
        <w:rPr>
          <w:rFonts w:ascii="Times New Roman" w:hAnsi="Times New Roman" w:eastAsia="Times New Roman" w:cs="Times New Roman"/>
          <w:sz w:val="28"/>
          <w:szCs w:val="28"/>
          <w:lang w:eastAsia="ru-RU"/>
        </w:rPr>
        <w:t>Т</w:t>
      </w:r>
      <w:r>
        <w:rPr>
          <w:rFonts w:ascii="Times New Roman" w:hAnsi="Times New Roman" w:eastAsia="Times New Roman" w:cs="Times New Roman"/>
          <w:sz w:val="28"/>
          <w:szCs w:val="28"/>
          <w:lang w:val="en-US" w:eastAsia="ru-RU"/>
        </w:rPr>
        <w:t>.104.—</w:t>
      </w:r>
      <w:r>
        <w:rPr>
          <w:rFonts w:ascii="Times New Roman" w:hAnsi="Times New Roman" w:eastAsia="Times New Roman" w:cs="Times New Roman"/>
          <w:sz w:val="28"/>
          <w:szCs w:val="28"/>
          <w:lang w:eastAsia="ru-RU"/>
        </w:rPr>
        <w:t>Б</w:t>
      </w:r>
      <w:r>
        <w:rPr>
          <w:rFonts w:ascii="Times New Roman" w:hAnsi="Times New Roman" w:eastAsia="Times New Roman" w:cs="Times New Roman"/>
          <w:sz w:val="28"/>
          <w:szCs w:val="28"/>
          <w:lang w:val="en-US" w:eastAsia="ru-RU"/>
        </w:rPr>
        <w:t>.499–504. DOI: 10.1097/SMJ.0b013e31821ec7cc.</w:t>
      </w:r>
    </w:p>
    <w:p w14:paraId="4DBA1E53">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Rhee H., Love T., Harrington D. Blood neutrophil count is associated with body mass index in adolescents with asthma // JSM Allergy Asthma.—2018.—</w:t>
      </w:r>
      <w:r>
        <w:rPr>
          <w:rFonts w:ascii="Times New Roman" w:hAnsi="Times New Roman" w:eastAsia="Times New Roman" w:cs="Times New Roman"/>
          <w:sz w:val="28"/>
          <w:szCs w:val="28"/>
          <w:lang w:eastAsia="ru-RU"/>
        </w:rPr>
        <w:t>Т</w:t>
      </w:r>
      <w:r>
        <w:rPr>
          <w:rFonts w:ascii="Times New Roman" w:hAnsi="Times New Roman" w:eastAsia="Times New Roman" w:cs="Times New Roman"/>
          <w:sz w:val="28"/>
          <w:szCs w:val="28"/>
          <w:lang w:val="en-US" w:eastAsia="ru-RU"/>
        </w:rPr>
        <w:t>.3.—</w:t>
      </w:r>
      <w:r>
        <w:rPr>
          <w:rFonts w:ascii="Times New Roman" w:hAnsi="Times New Roman" w:eastAsia="Times New Roman" w:cs="Times New Roman"/>
          <w:sz w:val="28"/>
          <w:szCs w:val="28"/>
          <w:lang w:eastAsia="ru-RU"/>
        </w:rPr>
        <w:t>Б</w:t>
      </w:r>
      <w:r>
        <w:rPr>
          <w:rFonts w:ascii="Times New Roman" w:hAnsi="Times New Roman" w:eastAsia="Times New Roman" w:cs="Times New Roman"/>
          <w:sz w:val="28"/>
          <w:szCs w:val="28"/>
          <w:lang w:val="en-US" w:eastAsia="ru-RU"/>
        </w:rPr>
        <w:t>.1019.</w:t>
      </w:r>
    </w:p>
    <w:p w14:paraId="782A3F6C">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Gállego–Suárez C., Bulan A., Hirschfeld E., Wachowiak P., Abrishami S., Griffin C., Sturza J., Tzau A., Hayes T., Woolford S.J., et al. Enhanced myeloid leukocytes in obese children and adolescents at risk for metabolic impairment // Front. Endocrinol.—2020.—</w:t>
      </w:r>
      <w:r>
        <w:rPr>
          <w:rFonts w:ascii="Times New Roman" w:hAnsi="Times New Roman" w:eastAsia="Times New Roman" w:cs="Times New Roman"/>
          <w:sz w:val="28"/>
          <w:szCs w:val="28"/>
          <w:lang w:eastAsia="ru-RU"/>
        </w:rPr>
        <w:t>Т</w:t>
      </w:r>
      <w:r>
        <w:rPr>
          <w:rFonts w:ascii="Times New Roman" w:hAnsi="Times New Roman" w:eastAsia="Times New Roman" w:cs="Times New Roman"/>
          <w:sz w:val="28"/>
          <w:szCs w:val="28"/>
          <w:lang w:val="en-US" w:eastAsia="ru-RU"/>
        </w:rPr>
        <w:t>.11.—</w:t>
      </w:r>
      <w:r>
        <w:rPr>
          <w:rFonts w:ascii="Times New Roman" w:hAnsi="Times New Roman" w:eastAsia="Times New Roman" w:cs="Times New Roman"/>
          <w:sz w:val="28"/>
          <w:szCs w:val="28"/>
          <w:lang w:eastAsia="ru-RU"/>
        </w:rPr>
        <w:t>Б</w:t>
      </w:r>
      <w:r>
        <w:rPr>
          <w:rFonts w:ascii="Times New Roman" w:hAnsi="Times New Roman" w:eastAsia="Times New Roman" w:cs="Times New Roman"/>
          <w:sz w:val="28"/>
          <w:szCs w:val="28"/>
          <w:lang w:val="en-US" w:eastAsia="ru-RU"/>
        </w:rPr>
        <w:t>.327. DOI: 10.3389/fendo.2020.00327.</w:t>
      </w:r>
    </w:p>
    <w:p w14:paraId="07D01A4F">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val="en-US" w:eastAsia="ru-RU"/>
        </w:rPr>
        <w:t xml:space="preserve">Zahorec R. Neutrophil–to–lymphocyte ratio, past, present and future perspectives // Bratisl. </w:t>
      </w:r>
      <w:r>
        <w:rPr>
          <w:rFonts w:ascii="Times New Roman" w:hAnsi="Times New Roman" w:eastAsia="Times New Roman" w:cs="Times New Roman"/>
          <w:sz w:val="28"/>
          <w:szCs w:val="28"/>
          <w:lang w:eastAsia="ru-RU"/>
        </w:rPr>
        <w:t>Lek. Listy.—2021.—Т.122.—Б.474–488. DOI: 10.4149/BLL_2021_078.</w:t>
      </w:r>
    </w:p>
    <w:p w14:paraId="558DF6C7">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val="en-US" w:eastAsia="ru-RU"/>
        </w:rPr>
        <w:t xml:space="preserve">Aydin M., Yilmaz A., Donma M.M., Tulubas F., Demirkol M., Erdogan M., Gurel A. Neutrophil/lymphocyte ratio in obese adolescents // North. </w:t>
      </w:r>
      <w:r>
        <w:rPr>
          <w:rFonts w:ascii="Times New Roman" w:hAnsi="Times New Roman" w:eastAsia="Times New Roman" w:cs="Times New Roman"/>
          <w:sz w:val="28"/>
          <w:szCs w:val="28"/>
          <w:lang w:eastAsia="ru-RU"/>
        </w:rPr>
        <w:t>Clin. Istanb. — 2015. — Т. 2. — P.87–91. DOI: 10.14744/nci.2015.25238.</w:t>
      </w:r>
    </w:p>
    <w:p w14:paraId="42412555">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val="en-US" w:eastAsia="ru-RU"/>
        </w:rPr>
        <w:t>Fang Q., Tong Y.W., Wang G., Zhang N., Chen W.G., Li Y.F., Shen K.W., Wu B.W., Chen X.S. Neutrophil–to–lymphocyte ratio, obesity, and breast cancer risk in Chinese population // Medicine.—2018.—</w:t>
      </w:r>
      <w:r>
        <w:rPr>
          <w:rFonts w:ascii="Times New Roman" w:hAnsi="Times New Roman" w:eastAsia="Times New Roman" w:cs="Times New Roman"/>
          <w:sz w:val="28"/>
          <w:szCs w:val="28"/>
          <w:lang w:eastAsia="ru-RU"/>
        </w:rPr>
        <w:t>Т</w:t>
      </w:r>
      <w:r>
        <w:rPr>
          <w:rFonts w:ascii="Times New Roman" w:hAnsi="Times New Roman" w:eastAsia="Times New Roman" w:cs="Times New Roman"/>
          <w:sz w:val="28"/>
          <w:szCs w:val="28"/>
          <w:lang w:val="en-US" w:eastAsia="ru-RU"/>
        </w:rPr>
        <w:t>.97.—</w:t>
      </w:r>
      <w:r>
        <w:rPr>
          <w:rFonts w:ascii="Times New Roman" w:hAnsi="Times New Roman" w:eastAsia="Times New Roman" w:cs="Times New Roman"/>
          <w:sz w:val="28"/>
          <w:szCs w:val="28"/>
          <w:lang w:eastAsia="ru-RU"/>
        </w:rPr>
        <w:t>Б</w:t>
      </w:r>
      <w:r>
        <w:rPr>
          <w:rFonts w:ascii="Times New Roman" w:hAnsi="Times New Roman" w:eastAsia="Times New Roman" w:cs="Times New Roman"/>
          <w:sz w:val="28"/>
          <w:szCs w:val="28"/>
          <w:lang w:val="en-US" w:eastAsia="ru-RU"/>
        </w:rPr>
        <w:t xml:space="preserve">.11692. </w:t>
      </w:r>
      <w:r>
        <w:rPr>
          <w:rFonts w:ascii="Times New Roman" w:hAnsi="Times New Roman" w:eastAsia="Times New Roman" w:cs="Times New Roman"/>
          <w:sz w:val="28"/>
          <w:szCs w:val="28"/>
          <w:lang w:eastAsia="ru-RU"/>
        </w:rPr>
        <w:t>DOI: 10.1097/MD.0000000000011692.</w:t>
      </w:r>
    </w:p>
    <w:p w14:paraId="5841FD14">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val="en-US" w:eastAsia="ru-RU"/>
        </w:rPr>
        <w:t>Kain V., Van Der Pol W., Mariappan N., Ahmad A., Eipers P., Gibson D.L., Gladine C., Vigor C., Durand T., Morrow C., et al. Obesogenic diet in aging mice disrupts gut microbe composition and alters neutrophil:lymphocyte ratio, leading to inflamed milieu in acute heart failure // FASEB J.—2019.—</w:t>
      </w:r>
      <w:r>
        <w:rPr>
          <w:rFonts w:ascii="Times New Roman" w:hAnsi="Times New Roman" w:eastAsia="Times New Roman" w:cs="Times New Roman"/>
          <w:sz w:val="28"/>
          <w:szCs w:val="28"/>
          <w:lang w:eastAsia="ru-RU"/>
        </w:rPr>
        <w:t>Т</w:t>
      </w:r>
      <w:r>
        <w:rPr>
          <w:rFonts w:ascii="Times New Roman" w:hAnsi="Times New Roman" w:eastAsia="Times New Roman" w:cs="Times New Roman"/>
          <w:sz w:val="28"/>
          <w:szCs w:val="28"/>
          <w:lang w:val="en-US" w:eastAsia="ru-RU"/>
        </w:rPr>
        <w:t>.33.—</w:t>
      </w:r>
      <w:r>
        <w:rPr>
          <w:rFonts w:ascii="Times New Roman" w:hAnsi="Times New Roman" w:eastAsia="Times New Roman" w:cs="Times New Roman"/>
          <w:sz w:val="28"/>
          <w:szCs w:val="28"/>
          <w:lang w:eastAsia="ru-RU"/>
        </w:rPr>
        <w:t>Б</w:t>
      </w:r>
      <w:r>
        <w:rPr>
          <w:rFonts w:ascii="Times New Roman" w:hAnsi="Times New Roman" w:eastAsia="Times New Roman" w:cs="Times New Roman"/>
          <w:sz w:val="28"/>
          <w:szCs w:val="28"/>
          <w:lang w:val="en-US" w:eastAsia="ru-RU"/>
        </w:rPr>
        <w:t xml:space="preserve">. </w:t>
      </w:r>
      <w:r>
        <w:rPr>
          <w:rFonts w:ascii="Times New Roman" w:hAnsi="Times New Roman" w:eastAsia="Times New Roman" w:cs="Times New Roman"/>
          <w:sz w:val="28"/>
          <w:szCs w:val="28"/>
          <w:lang w:eastAsia="ru-RU"/>
        </w:rPr>
        <w:t>6456–6469. DOI: 10.1096/fj.201802477R.</w:t>
      </w:r>
    </w:p>
    <w:p w14:paraId="7696C1E0">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 xml:space="preserve">Țaranu I., Lazea C., Creț V., Răcătăianu N., Iancu M., Bolboacă S.D. Inflammation–related markers and thyroid function measures in pediatric patients: Is the grade of obesity relevant? // Diagnostics. — 2021. — </w:t>
      </w:r>
      <w:r>
        <w:rPr>
          <w:rFonts w:ascii="Times New Roman" w:hAnsi="Times New Roman" w:eastAsia="Times New Roman" w:cs="Times New Roman"/>
          <w:sz w:val="28"/>
          <w:szCs w:val="28"/>
          <w:lang w:eastAsia="ru-RU"/>
        </w:rPr>
        <w:t>Т</w:t>
      </w:r>
      <w:r>
        <w:rPr>
          <w:rFonts w:ascii="Times New Roman" w:hAnsi="Times New Roman" w:eastAsia="Times New Roman" w:cs="Times New Roman"/>
          <w:sz w:val="28"/>
          <w:szCs w:val="28"/>
          <w:lang w:val="en-US" w:eastAsia="ru-RU"/>
        </w:rPr>
        <w:t xml:space="preserve">. 11. — </w:t>
      </w:r>
      <w:r>
        <w:rPr>
          <w:rFonts w:ascii="Times New Roman" w:hAnsi="Times New Roman" w:eastAsia="Times New Roman" w:cs="Times New Roman"/>
          <w:sz w:val="28"/>
          <w:szCs w:val="28"/>
          <w:lang w:eastAsia="ru-RU"/>
        </w:rPr>
        <w:t>Б</w:t>
      </w:r>
      <w:r>
        <w:rPr>
          <w:rFonts w:ascii="Times New Roman" w:hAnsi="Times New Roman" w:eastAsia="Times New Roman" w:cs="Times New Roman"/>
          <w:sz w:val="28"/>
          <w:szCs w:val="28"/>
          <w:lang w:val="en-US" w:eastAsia="ru-RU"/>
        </w:rPr>
        <w:t>. 485. DOI: 10.3390/diagnostics11030485.</w:t>
      </w:r>
    </w:p>
    <w:p w14:paraId="39079D1D">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eastAsia="ru-RU"/>
        </w:rPr>
        <w:t xml:space="preserve">Тайжанова, Д. , Рустембеккызы, Ж., Амирбекова, Ж. , Комличенко, Э. , Понамарева, О. , Жанабаева, С., Телегенова, Б. 2024. Ассоциация ожирения с гематологическими показателями воспаления у беременных // Репродуктивная медицина (Центральная Азия). – 2024. - Т.1. – Б. 60–66. </w:t>
      </w:r>
      <w:r>
        <w:rPr>
          <w:rFonts w:ascii="Times New Roman" w:hAnsi="Times New Roman" w:eastAsia="Times New Roman" w:cs="Times New Roman"/>
          <w:sz w:val="28"/>
          <w:szCs w:val="28"/>
          <w:lang w:val="en-US" w:eastAsia="ru-RU"/>
        </w:rPr>
        <w:t>DOI:https://doi.org/10.37800/RM.1.2024.60-66.</w:t>
      </w:r>
    </w:p>
    <w:p w14:paraId="4DD2A57A">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Mărginean C.O., Meliţ L.E., Huţanu A., Ghiga D.V., Săsăran M.O. The gap between overweight and obesity status in children (STROBE–compliant article) // Medicine. —2021.—</w:t>
      </w:r>
      <w:r>
        <w:rPr>
          <w:rFonts w:ascii="Times New Roman" w:hAnsi="Times New Roman" w:eastAsia="Times New Roman" w:cs="Times New Roman"/>
          <w:sz w:val="28"/>
          <w:szCs w:val="28"/>
          <w:lang w:eastAsia="ru-RU"/>
        </w:rPr>
        <w:t>Т</w:t>
      </w:r>
      <w:r>
        <w:rPr>
          <w:rFonts w:ascii="Times New Roman" w:hAnsi="Times New Roman" w:eastAsia="Times New Roman" w:cs="Times New Roman"/>
          <w:sz w:val="28"/>
          <w:szCs w:val="28"/>
          <w:lang w:val="en-US" w:eastAsia="ru-RU"/>
        </w:rPr>
        <w:t>.100.—</w:t>
      </w:r>
      <w:r>
        <w:rPr>
          <w:rFonts w:ascii="Times New Roman" w:hAnsi="Times New Roman" w:eastAsia="Times New Roman" w:cs="Times New Roman"/>
          <w:sz w:val="28"/>
          <w:szCs w:val="28"/>
          <w:lang w:eastAsia="ru-RU"/>
        </w:rPr>
        <w:t>Б</w:t>
      </w:r>
      <w:r>
        <w:rPr>
          <w:rFonts w:ascii="Times New Roman" w:hAnsi="Times New Roman" w:eastAsia="Times New Roman" w:cs="Times New Roman"/>
          <w:sz w:val="28"/>
          <w:szCs w:val="28"/>
          <w:lang w:val="en-US" w:eastAsia="ru-RU"/>
        </w:rPr>
        <w:t>.24520. DOI: 10.1097/MD.0000000000024520.</w:t>
      </w:r>
    </w:p>
    <w:p w14:paraId="25230D64">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val="en-US" w:eastAsia="ru-RU"/>
        </w:rPr>
        <w:t xml:space="preserve">Orlandini L.F., Pimentel F.F., Andrade J.M., Reis F.J.C.D., Mattos–Arruda L., Tiezzi D.G. Obesity and high neutrophil–to–lymphocyte ratio are prognostic factors in non–metastatic breast cancer patients // Braz. J. Med. </w:t>
      </w:r>
      <w:r>
        <w:rPr>
          <w:rFonts w:ascii="Times New Roman" w:hAnsi="Times New Roman" w:eastAsia="Times New Roman" w:cs="Times New Roman"/>
          <w:sz w:val="28"/>
          <w:szCs w:val="28"/>
          <w:lang w:eastAsia="ru-RU"/>
        </w:rPr>
        <w:t>Biol. Res.—2021.—Т.54.—P.11409. DOI: 10.1590/1414–431X2021e11409.</w:t>
      </w:r>
    </w:p>
    <w:p w14:paraId="4CC58786">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val="en-US" w:eastAsia="ru-RU"/>
        </w:rPr>
        <w:t xml:space="preserve">Tecchio C., Cassatella M.A. Neutrophil–derived chemokines on the road to immunity // Semin. </w:t>
      </w:r>
      <w:r>
        <w:rPr>
          <w:rFonts w:ascii="Times New Roman" w:hAnsi="Times New Roman" w:eastAsia="Times New Roman" w:cs="Times New Roman"/>
          <w:sz w:val="28"/>
          <w:szCs w:val="28"/>
          <w:lang w:eastAsia="ru-RU"/>
        </w:rPr>
        <w:t>Immunol.—2016.—Т.28.—Б.119–128. DOI: 10.1016/j.smim.2016.04.003. Тайжанова, Д. , Рустембеккызы, Ж., Амирбекова, Ж., Комличенко, Э., Понамарева, О. и Жанабаева, С. 2023. Исходы беременности у женщин с предгестационным ожирением // Репродуктивная медицина (Центральная Азия). – 2023. – Т.54. – Р.109–115. DOI:https://doi.org/10.37800/RM.1.2023.109-115.</w:t>
      </w:r>
    </w:p>
    <w:p w14:paraId="50ED037C">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val="en-US" w:eastAsia="ru-RU"/>
        </w:rPr>
        <w:t xml:space="preserve">Rosales C. Neutrophils at the crossroads of innate and adaptive immunity // J. Leukoc. </w:t>
      </w:r>
      <w:r>
        <w:rPr>
          <w:rFonts w:ascii="Times New Roman" w:hAnsi="Times New Roman" w:eastAsia="Times New Roman" w:cs="Times New Roman"/>
          <w:sz w:val="28"/>
          <w:szCs w:val="28"/>
          <w:lang w:eastAsia="ru-RU"/>
        </w:rPr>
        <w:t>Biol.—2020.—Т.108.—Б.377–396. DOI: 10.1002/JLB.4MIR0220–574RR.</w:t>
      </w:r>
    </w:p>
    <w:p w14:paraId="2FAB83CA">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Tsai C.Y., Hsieh S.C., Liu C.W., Lu C.S., Wu C.H., Liao H.T., Chen M.H., Li K.J., Shen C.Y., Kuo Y.M., et al. </w:t>
      </w:r>
      <w:r>
        <w:rPr>
          <w:rFonts w:ascii="Times New Roman" w:hAnsi="Times New Roman" w:eastAsia="Times New Roman" w:cs="Times New Roman"/>
          <w:sz w:val="28"/>
          <w:szCs w:val="28"/>
          <w:lang w:val="en-US" w:eastAsia="ru-RU"/>
        </w:rPr>
        <w:t xml:space="preserve">Cross–talk among polymorphonuclear neutrophils, immune, and non–immune cells via released cytokines, granule proteins, microvesicles, and neutrophil extracellular trap formation: A novel concept of biology and pathobiology for neutrophils // Int. J. Mol. Sci.—2021.— </w:t>
      </w:r>
      <w:r>
        <w:rPr>
          <w:rFonts w:ascii="Times New Roman" w:hAnsi="Times New Roman" w:eastAsia="Times New Roman" w:cs="Times New Roman"/>
          <w:sz w:val="28"/>
          <w:szCs w:val="28"/>
          <w:lang w:eastAsia="ru-RU"/>
        </w:rPr>
        <w:t>Т.22.—Б.3119. DOI: 10.3390/ijms22063119.</w:t>
      </w:r>
    </w:p>
    <w:p w14:paraId="61EBAAC2">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val="en-US" w:eastAsia="ru-RU"/>
        </w:rPr>
        <w:t xml:space="preserve">Zahorec R. Neutrophil–to–lymphocyte ratio, past, present and future perspectives // Bratisl. </w:t>
      </w:r>
      <w:r>
        <w:rPr>
          <w:rFonts w:ascii="Times New Roman" w:hAnsi="Times New Roman" w:eastAsia="Times New Roman" w:cs="Times New Roman"/>
          <w:sz w:val="28"/>
          <w:szCs w:val="28"/>
          <w:lang w:eastAsia="ru-RU"/>
        </w:rPr>
        <w:t>Lek. Listy.—2021.—Т.122.—Б.474–488. DOI: 10.4149/BLL_2021_078.</w:t>
      </w:r>
    </w:p>
    <w:p w14:paraId="2902AE2B">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val="en-US" w:eastAsia="ru-RU"/>
        </w:rPr>
        <w:t xml:space="preserve">Nair M., Choudhury M.K., Choudhury S.S., Kakoty S.D., Sarma U.C., Webster P., Knight M. Association between maternal anaemia and pregnancy outcomes: A cohort study in Assam, India // BMJ Glob. </w:t>
      </w:r>
      <w:r>
        <w:rPr>
          <w:rFonts w:ascii="Times New Roman" w:hAnsi="Times New Roman" w:eastAsia="Times New Roman" w:cs="Times New Roman"/>
          <w:sz w:val="28"/>
          <w:szCs w:val="28"/>
          <w:lang w:eastAsia="ru-RU"/>
        </w:rPr>
        <w:t>Health.—2016.—Т.1.—Б.26. DOI: 10.1136/bmjgh–2015–000026.</w:t>
      </w:r>
    </w:p>
    <w:p w14:paraId="66E06B5B">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Poston L., Caleyachetty R., Cnattingius S. et al. Obesity before conception and during pregnancy: epidemiology and health consequences // The Lancet Diabetes &amp; Endocrinology.–2016.–</w:t>
      </w:r>
      <w:r>
        <w:rPr>
          <w:rFonts w:ascii="Times New Roman" w:hAnsi="Times New Roman" w:eastAsia="Times New Roman" w:cs="Times New Roman"/>
          <w:sz w:val="28"/>
          <w:szCs w:val="28"/>
          <w:lang w:eastAsia="ru-RU"/>
        </w:rPr>
        <w:t>Т</w:t>
      </w:r>
      <w:r>
        <w:rPr>
          <w:rFonts w:ascii="Times New Roman" w:hAnsi="Times New Roman" w:eastAsia="Times New Roman" w:cs="Times New Roman"/>
          <w:sz w:val="28"/>
          <w:szCs w:val="28"/>
          <w:lang w:val="en-US" w:eastAsia="ru-RU"/>
        </w:rPr>
        <w:t>.4(12).-</w:t>
      </w:r>
      <w:r>
        <w:rPr>
          <w:rFonts w:ascii="Times New Roman" w:hAnsi="Times New Roman" w:eastAsia="Times New Roman" w:cs="Times New Roman"/>
          <w:sz w:val="28"/>
          <w:szCs w:val="28"/>
          <w:lang w:eastAsia="ru-RU"/>
        </w:rPr>
        <w:t>Б</w:t>
      </w:r>
      <w:r>
        <w:rPr>
          <w:rFonts w:ascii="Times New Roman" w:hAnsi="Times New Roman" w:eastAsia="Times New Roman" w:cs="Times New Roman"/>
          <w:sz w:val="28"/>
          <w:szCs w:val="28"/>
          <w:lang w:val="en-US" w:eastAsia="ru-RU"/>
        </w:rPr>
        <w:t>.1025–1036.</w:t>
      </w:r>
    </w:p>
    <w:p w14:paraId="4A8363B1">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val="en-US" w:eastAsia="ru-RU"/>
        </w:rPr>
        <w:t>Waller K.D., Mills J.L., Simpson J.L., Cunningham G.C., Conley M.R., Lassman M.R., et al. Are obese women at higher risk for producing malformed offspring // Am J Obstetitrics Gynecology.–1994.–170.–</w:t>
      </w:r>
      <w:r>
        <w:rPr>
          <w:rFonts w:ascii="Times New Roman" w:hAnsi="Times New Roman" w:eastAsia="Times New Roman" w:cs="Times New Roman"/>
          <w:sz w:val="28"/>
          <w:szCs w:val="28"/>
          <w:lang w:eastAsia="ru-RU"/>
        </w:rPr>
        <w:t>Б</w:t>
      </w:r>
      <w:r>
        <w:rPr>
          <w:rFonts w:ascii="Times New Roman" w:hAnsi="Times New Roman" w:eastAsia="Times New Roman" w:cs="Times New Roman"/>
          <w:sz w:val="28"/>
          <w:szCs w:val="28"/>
          <w:lang w:val="en-US" w:eastAsia="ru-RU"/>
        </w:rPr>
        <w:t xml:space="preserve">.541–548. </w:t>
      </w:r>
      <w:r>
        <w:rPr>
          <w:rFonts w:ascii="Times New Roman" w:hAnsi="Times New Roman" w:eastAsia="Times New Roman" w:cs="Times New Roman"/>
          <w:sz w:val="28"/>
          <w:szCs w:val="28"/>
          <w:lang w:eastAsia="ru-RU"/>
        </w:rPr>
        <w:t>DOI: 10.1016/s0002–9378(94)70224</w:t>
      </w:r>
    </w:p>
    <w:p w14:paraId="2D944AC7">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val="en-US" w:eastAsia="ru-RU"/>
        </w:rPr>
        <w:t xml:space="preserve">Begum K.S., Sachchithanantham K., De Somsubhra S. Maternal obesity and pregnancy outcome . </w:t>
      </w:r>
      <w:r>
        <w:rPr>
          <w:rFonts w:ascii="Times New Roman" w:hAnsi="Times New Roman" w:eastAsia="Times New Roman" w:cs="Times New Roman"/>
          <w:sz w:val="28"/>
          <w:szCs w:val="28"/>
          <w:lang w:eastAsia="ru-RU"/>
        </w:rPr>
        <w:t xml:space="preserve">Clin. Exp. Obstet. Gynecol.–2011.–Т.38.– Б.14–20. </w:t>
      </w:r>
    </w:p>
    <w:p w14:paraId="2D058717">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val="en-US" w:eastAsia="ru-RU"/>
        </w:rPr>
        <w:t xml:space="preserve">Papachatzi E., Dimitriou G., Dimitropoulos K., Vantarakis A . Pre–pregnancy obesity: maternal, neonatal and childhood outcomes . </w:t>
      </w:r>
      <w:r>
        <w:rPr>
          <w:rFonts w:ascii="Times New Roman" w:hAnsi="Times New Roman" w:eastAsia="Times New Roman" w:cs="Times New Roman"/>
          <w:sz w:val="28"/>
          <w:szCs w:val="28"/>
          <w:lang w:eastAsia="ru-RU"/>
        </w:rPr>
        <w:t>J. Neonatal. Perinatal. Med.–2013.-6.-Б.203–216. DOI: 10.3233/NPM–1370313</w:t>
      </w:r>
    </w:p>
    <w:p w14:paraId="481C4C2E">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val="en-US" w:eastAsia="ru-RU"/>
        </w:rPr>
        <w:t xml:space="preserve">Rayis D.A., Abbaker A.O., Salih Y., Adam I . Obesity and pregnancy outcome in Khartoum, Sudan. </w:t>
      </w:r>
      <w:r>
        <w:rPr>
          <w:rFonts w:ascii="Times New Roman" w:hAnsi="Times New Roman" w:eastAsia="Times New Roman" w:cs="Times New Roman"/>
          <w:sz w:val="28"/>
          <w:szCs w:val="28"/>
          <w:lang w:eastAsia="ru-RU"/>
        </w:rPr>
        <w:t xml:space="preserve">Int. J. Gynaecol. Obstet.–2010.–Т.113.– Б.160–161. DOI: 10.1016/j.ijgo.2010.12.008 </w:t>
      </w:r>
    </w:p>
    <w:p w14:paraId="00A35DDA">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val="en-US" w:eastAsia="ru-RU"/>
        </w:rPr>
        <w:t xml:space="preserve">Morgan K.L., Rahman M.A., Hill R.A., Khanom A., Lyons R.A., Brophy S.T. Obesity in pregnancy: infant health service utilisation and costs on the NHS . </w:t>
      </w:r>
      <w:r>
        <w:rPr>
          <w:rFonts w:ascii="Times New Roman" w:hAnsi="Times New Roman" w:eastAsia="Times New Roman" w:cs="Times New Roman"/>
          <w:sz w:val="28"/>
          <w:szCs w:val="28"/>
          <w:lang w:eastAsia="ru-RU"/>
        </w:rPr>
        <w:t>BMJ Open.–2015.-Т.26 (5).-Б.8357.</w:t>
      </w:r>
    </w:p>
    <w:p w14:paraId="16541F35">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val="en-US" w:eastAsia="ru-RU"/>
        </w:rPr>
        <w:t>Ehrenberg H.M., Dierker L., Milluzzi C., Mercer B.M. Prevalence of maternal obesity in an urban center // Am J Obstet Gynecol.–2002.–187.–</w:t>
      </w:r>
      <w:r>
        <w:rPr>
          <w:rFonts w:ascii="Times New Roman" w:hAnsi="Times New Roman" w:eastAsia="Times New Roman" w:cs="Times New Roman"/>
          <w:sz w:val="28"/>
          <w:szCs w:val="28"/>
          <w:lang w:eastAsia="ru-RU"/>
        </w:rPr>
        <w:t>Б</w:t>
      </w:r>
      <w:r>
        <w:rPr>
          <w:rFonts w:ascii="Times New Roman" w:hAnsi="Times New Roman" w:eastAsia="Times New Roman" w:cs="Times New Roman"/>
          <w:sz w:val="28"/>
          <w:szCs w:val="28"/>
          <w:lang w:val="en-US" w:eastAsia="ru-RU"/>
        </w:rPr>
        <w:t xml:space="preserve">.1189–1193. </w:t>
      </w:r>
      <w:r>
        <w:rPr>
          <w:rFonts w:ascii="Times New Roman" w:hAnsi="Times New Roman" w:eastAsia="Times New Roman" w:cs="Times New Roman"/>
          <w:sz w:val="28"/>
          <w:szCs w:val="28"/>
          <w:lang w:eastAsia="ru-RU"/>
        </w:rPr>
        <w:t xml:space="preserve">DOI: 10.1067/mob.2002.127125  </w:t>
      </w:r>
    </w:p>
    <w:p w14:paraId="343DF1C6">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t>Morgan K.L., Rahman M.A., Hill R.A., Khanom A., Lyons R.A., Brophy S.T. Obesity in pregnancy: Infant health service utilisation and costs on the NHS // BMJ Open.—2015.—</w:t>
      </w:r>
      <w:r>
        <w:rPr>
          <w:rFonts w:ascii="Times New Roman" w:hAnsi="Times New Roman" w:eastAsia="Times New Roman" w:cs="Times New Roman"/>
          <w:sz w:val="28"/>
          <w:szCs w:val="28"/>
          <w:lang w:eastAsia="ru-RU"/>
        </w:rPr>
        <w:t>Т</w:t>
      </w:r>
      <w:r>
        <w:rPr>
          <w:rFonts w:ascii="Times New Roman" w:hAnsi="Times New Roman" w:eastAsia="Times New Roman" w:cs="Times New Roman"/>
          <w:sz w:val="28"/>
          <w:szCs w:val="28"/>
          <w:lang w:val="en-US" w:eastAsia="ru-RU"/>
        </w:rPr>
        <w:t>.5.—</w:t>
      </w:r>
      <w:r>
        <w:rPr>
          <w:rFonts w:ascii="Times New Roman" w:hAnsi="Times New Roman" w:eastAsia="Times New Roman" w:cs="Times New Roman"/>
          <w:sz w:val="28"/>
          <w:szCs w:val="28"/>
          <w:lang w:eastAsia="ru-RU"/>
        </w:rPr>
        <w:t>Б</w:t>
      </w:r>
      <w:r>
        <w:rPr>
          <w:rFonts w:ascii="Times New Roman" w:hAnsi="Times New Roman" w:eastAsia="Times New Roman" w:cs="Times New Roman"/>
          <w:sz w:val="28"/>
          <w:szCs w:val="28"/>
          <w:lang w:val="en-US" w:eastAsia="ru-RU"/>
        </w:rPr>
        <w:t>.8357.</w:t>
      </w:r>
    </w:p>
    <w:p w14:paraId="4770FCC7">
      <w:pPr>
        <w:widowControl w:val="0"/>
        <w:numPr>
          <w:ilvl w:val="0"/>
          <w:numId w:val="18"/>
        </w:numPr>
        <w:autoSpaceDE w:val="0"/>
        <w:autoSpaceDN w:val="0"/>
        <w:spacing w:after="0" w:line="276" w:lineRule="auto"/>
        <w:ind w:left="0" w:firstLine="0"/>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val="en-US" w:eastAsia="ru-RU"/>
        </w:rPr>
        <w:t>Nair M., Choudhury M.K., Choudhury S.S., Kakoty S.D., Sarma U.C., Webster P. &amp; Knight M. The IndOSS–Assam Steering Committee. Association between maternal anaemia and pregnancy outcomes: a cohort study in Assam, India // British Medical Journal Global Health.–2016.-</w:t>
      </w:r>
      <w:r>
        <w:rPr>
          <w:rFonts w:ascii="Times New Roman" w:hAnsi="Times New Roman" w:eastAsia="Times New Roman" w:cs="Times New Roman"/>
          <w:sz w:val="28"/>
          <w:szCs w:val="28"/>
          <w:lang w:eastAsia="ru-RU"/>
        </w:rPr>
        <w:t>Т</w:t>
      </w:r>
      <w:r>
        <w:rPr>
          <w:rFonts w:ascii="Times New Roman" w:hAnsi="Times New Roman" w:eastAsia="Times New Roman" w:cs="Times New Roman"/>
          <w:sz w:val="28"/>
          <w:szCs w:val="28"/>
          <w:lang w:val="en-US" w:eastAsia="ru-RU"/>
        </w:rPr>
        <w:t>.1.-</w:t>
      </w:r>
      <w:r>
        <w:rPr>
          <w:rFonts w:ascii="Times New Roman" w:hAnsi="Times New Roman" w:eastAsia="Times New Roman" w:cs="Times New Roman"/>
          <w:sz w:val="28"/>
          <w:szCs w:val="28"/>
          <w:lang w:eastAsia="ru-RU"/>
        </w:rPr>
        <w:t>Б</w:t>
      </w:r>
      <w:r>
        <w:rPr>
          <w:rFonts w:ascii="Times New Roman" w:hAnsi="Times New Roman" w:eastAsia="Times New Roman" w:cs="Times New Roman"/>
          <w:sz w:val="28"/>
          <w:szCs w:val="28"/>
          <w:lang w:val="en-US" w:eastAsia="ru-RU"/>
        </w:rPr>
        <w:t xml:space="preserve">.26. </w:t>
      </w:r>
      <w:r>
        <w:rPr>
          <w:rFonts w:ascii="Times New Roman" w:hAnsi="Times New Roman" w:eastAsia="Times New Roman" w:cs="Times New Roman"/>
          <w:sz w:val="28"/>
          <w:szCs w:val="28"/>
          <w:lang w:eastAsia="ru-RU"/>
        </w:rPr>
        <w:t xml:space="preserve">DOI: 10.1136/bmjgh–2015–000026 </w:t>
      </w:r>
    </w:p>
    <w:p w14:paraId="549E3732">
      <w:pPr>
        <w:autoSpaceDE w:val="0"/>
        <w:spacing w:after="0" w:line="276" w:lineRule="auto"/>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 </w:t>
      </w:r>
    </w:p>
    <w:p w14:paraId="54B853AD">
      <w:pPr>
        <w:widowControl w:val="0"/>
        <w:autoSpaceDE w:val="0"/>
        <w:autoSpaceDN w:val="0"/>
        <w:spacing w:after="0" w:line="276" w:lineRule="auto"/>
        <w:jc w:val="both"/>
        <w:outlineLvl w:val="0"/>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eastAsia="ru-RU"/>
        </w:rPr>
        <w:t xml:space="preserve"> </w:t>
      </w:r>
    </w:p>
    <w:p w14:paraId="3E6EFDDF">
      <w:pPr>
        <w:widowControl w:val="0"/>
        <w:autoSpaceDE w:val="0"/>
        <w:autoSpaceDN w:val="0"/>
        <w:spacing w:after="0" w:line="276" w:lineRule="auto"/>
        <w:ind w:firstLine="709"/>
        <w:jc w:val="both"/>
        <w:outlineLvl w:val="0"/>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eastAsia="ru-RU"/>
        </w:rPr>
        <w:t xml:space="preserve"> </w:t>
      </w:r>
    </w:p>
    <w:p w14:paraId="430E2EAD">
      <w:pPr>
        <w:widowControl w:val="0"/>
        <w:autoSpaceDE w:val="0"/>
        <w:autoSpaceDN w:val="0"/>
        <w:spacing w:after="0" w:line="276" w:lineRule="auto"/>
        <w:ind w:firstLine="709"/>
        <w:jc w:val="both"/>
        <w:outlineLvl w:val="0"/>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eastAsia="ru-RU"/>
        </w:rPr>
        <w:t xml:space="preserve"> </w:t>
      </w:r>
    </w:p>
    <w:p w14:paraId="12217473">
      <w:pPr>
        <w:widowControl w:val="0"/>
        <w:autoSpaceDE w:val="0"/>
        <w:autoSpaceDN w:val="0"/>
        <w:spacing w:after="0" w:line="276" w:lineRule="auto"/>
        <w:ind w:firstLine="709"/>
        <w:jc w:val="both"/>
        <w:outlineLvl w:val="0"/>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eastAsia="ru-RU"/>
        </w:rPr>
        <w:t xml:space="preserve"> </w:t>
      </w:r>
    </w:p>
    <w:p w14:paraId="7483B4BB">
      <w:pPr>
        <w:widowControl w:val="0"/>
        <w:autoSpaceDE w:val="0"/>
        <w:autoSpaceDN w:val="0"/>
        <w:spacing w:after="0" w:line="276" w:lineRule="auto"/>
        <w:ind w:firstLine="709"/>
        <w:jc w:val="both"/>
        <w:outlineLvl w:val="0"/>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eastAsia="ru-RU"/>
        </w:rPr>
        <w:t xml:space="preserve"> </w:t>
      </w:r>
    </w:p>
    <w:p w14:paraId="7BB95FCB">
      <w:pPr>
        <w:widowControl w:val="0"/>
        <w:autoSpaceDE w:val="0"/>
        <w:autoSpaceDN w:val="0"/>
        <w:spacing w:after="0" w:line="276" w:lineRule="auto"/>
        <w:ind w:firstLine="709"/>
        <w:jc w:val="both"/>
        <w:outlineLvl w:val="0"/>
        <w:rPr>
          <w:rFonts w:ascii="Times New Roman" w:hAnsi="Times New Roman" w:eastAsia="Times New Roman" w:cs="Times New Roman"/>
          <w:b/>
          <w:sz w:val="28"/>
          <w:szCs w:val="28"/>
          <w:lang w:val="en-US" w:eastAsia="ru-RU"/>
        </w:rPr>
      </w:pPr>
      <w:r>
        <w:rPr>
          <w:rFonts w:ascii="Times New Roman" w:hAnsi="Times New Roman" w:eastAsia="Times New Roman" w:cs="Times New Roman"/>
          <w:b/>
          <w:sz w:val="28"/>
          <w:szCs w:val="28"/>
          <w:lang w:val="en-US" w:eastAsia="ru-RU"/>
        </w:rPr>
        <w:t xml:space="preserve"> </w:t>
      </w:r>
    </w:p>
    <w:p w14:paraId="119CE450">
      <w:pPr>
        <w:widowControl w:val="0"/>
        <w:autoSpaceDE w:val="0"/>
        <w:autoSpaceDN w:val="0"/>
        <w:spacing w:after="0" w:line="276" w:lineRule="auto"/>
        <w:ind w:firstLine="709"/>
        <w:jc w:val="both"/>
        <w:outlineLvl w:val="0"/>
        <w:rPr>
          <w:rFonts w:ascii="Times New Roman" w:hAnsi="Times New Roman" w:eastAsia="Times New Roman" w:cs="Times New Roman"/>
          <w:b/>
          <w:sz w:val="28"/>
          <w:szCs w:val="28"/>
          <w:lang w:val="en-US" w:eastAsia="ru-RU"/>
        </w:rPr>
      </w:pPr>
      <w:r>
        <w:rPr>
          <w:rFonts w:ascii="Times New Roman" w:hAnsi="Times New Roman" w:eastAsia="Times New Roman" w:cs="Times New Roman"/>
          <w:b/>
          <w:sz w:val="28"/>
          <w:szCs w:val="28"/>
          <w:lang w:val="en-US" w:eastAsia="ru-RU"/>
        </w:rPr>
        <w:t xml:space="preserve"> </w:t>
      </w:r>
    </w:p>
    <w:p w14:paraId="220B374F">
      <w:pPr>
        <w:widowControl w:val="0"/>
        <w:autoSpaceDE w:val="0"/>
        <w:autoSpaceDN w:val="0"/>
        <w:spacing w:after="0" w:line="276" w:lineRule="auto"/>
        <w:jc w:val="both"/>
        <w:outlineLvl w:val="0"/>
        <w:rPr>
          <w:rFonts w:ascii="Times New Roman" w:hAnsi="Times New Roman" w:eastAsia="Times New Roman" w:cs="Times New Roman"/>
          <w:b/>
          <w:sz w:val="28"/>
          <w:szCs w:val="28"/>
          <w:lang w:eastAsia="ru-RU"/>
        </w:rPr>
      </w:pPr>
    </w:p>
    <w:p w14:paraId="325D48E2">
      <w:pPr>
        <w:widowControl w:val="0"/>
        <w:autoSpaceDE w:val="0"/>
        <w:autoSpaceDN w:val="0"/>
        <w:spacing w:after="0" w:line="276" w:lineRule="auto"/>
        <w:ind w:firstLine="709"/>
        <w:jc w:val="both"/>
        <w:outlineLvl w:val="0"/>
        <w:rPr>
          <w:rFonts w:ascii="Times New Roman" w:hAnsi="Times New Roman" w:eastAsia="Times New Roman" w:cs="Times New Roman"/>
          <w:b/>
          <w:sz w:val="28"/>
          <w:szCs w:val="28"/>
          <w:lang w:val="en-US" w:eastAsia="ru-RU"/>
        </w:rPr>
      </w:pPr>
      <w:r>
        <w:rPr>
          <w:rFonts w:ascii="Times New Roman" w:hAnsi="Times New Roman" w:eastAsia="Times New Roman" w:cs="Times New Roman"/>
          <w:b/>
          <w:sz w:val="28"/>
          <w:szCs w:val="28"/>
          <w:lang w:val="en-US" w:eastAsia="ru-RU"/>
        </w:rPr>
        <w:t xml:space="preserve"> </w:t>
      </w:r>
    </w:p>
    <w:p w14:paraId="3FC1C3C5">
      <w:pPr>
        <w:widowControl w:val="0"/>
        <w:autoSpaceDE w:val="0"/>
        <w:autoSpaceDN w:val="0"/>
        <w:spacing w:after="0" w:line="276" w:lineRule="auto"/>
        <w:jc w:val="both"/>
        <w:outlineLvl w:val="0"/>
        <w:rPr>
          <w:rFonts w:ascii="Times New Roman" w:hAnsi="Times New Roman" w:cs="Times New Roman"/>
          <w:b/>
          <w:bCs/>
          <w:sz w:val="28"/>
          <w:szCs w:val="28"/>
          <w:lang w:val="kk-KZ" w:eastAsia="ru-RU"/>
        </w:rPr>
      </w:pPr>
      <w:r>
        <w:rPr>
          <w:rFonts w:ascii="Times New Roman" w:hAnsi="Times New Roman" w:cs="Times New Roman"/>
          <w:b/>
          <w:bCs/>
          <w:sz w:val="28"/>
          <w:szCs w:val="28"/>
          <w:lang w:val="kk-KZ" w:eastAsia="ru-RU"/>
        </w:rPr>
        <w:t>ҚОСЫМША А</w:t>
      </w:r>
    </w:p>
    <w:p w14:paraId="078022DA">
      <w:pPr>
        <w:widowControl w:val="0"/>
        <w:autoSpaceDE w:val="0"/>
        <w:autoSpaceDN w:val="0"/>
        <w:spacing w:after="0" w:line="276" w:lineRule="auto"/>
        <w:jc w:val="both"/>
        <w:outlineLvl w:val="0"/>
        <w:rPr>
          <w:rFonts w:ascii="Times New Roman" w:hAnsi="Times New Roman" w:eastAsia="Times New Roman" w:cs="Times New Roman"/>
          <w:sz w:val="28"/>
          <w:szCs w:val="28"/>
          <w:lang w:eastAsia="ru-RU"/>
        </w:rPr>
      </w:pPr>
      <w:r>
        <w:rPr>
          <w:rFonts w:ascii="Times New Roman" w:hAnsi="Times New Roman" w:cs="Times New Roman"/>
          <w:b/>
          <w:bCs/>
          <w:sz w:val="28"/>
          <w:szCs w:val="28"/>
          <w:lang w:val="kk-KZ" w:eastAsia="ru-RU"/>
        </w:rPr>
        <w:t xml:space="preserve">  </w:t>
      </w:r>
      <w:r>
        <w:rPr>
          <w:rFonts w:ascii="Times New Roman" w:hAnsi="Times New Roman" w:eastAsia="Times New Roman" w:cs="Times New Roman"/>
          <w:sz w:val="28"/>
          <w:szCs w:val="28"/>
          <w:lang w:eastAsia="ru-RU"/>
        </w:rPr>
        <w:drawing>
          <wp:inline distT="0" distB="0" distL="0" distR="0">
            <wp:extent cx="5981065" cy="8317865"/>
            <wp:effectExtent l="0" t="0" r="635" b="6985"/>
            <wp:docPr id="120" name="Рисунок 120" descr="C:\Users\kgmuuser\AppData\Local\Temp\ksohtml7396\wps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Рисунок 120" descr="C:\Users\kgmuuser\AppData\Local\Temp\ksohtml7396\wps36.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a:xfrm>
                      <a:off x="0" y="0"/>
                      <a:ext cx="5981065" cy="8317865"/>
                    </a:xfrm>
                    <a:prstGeom prst="rect">
                      <a:avLst/>
                    </a:prstGeom>
                    <a:noFill/>
                    <a:ln>
                      <a:noFill/>
                    </a:ln>
                  </pic:spPr>
                </pic:pic>
              </a:graphicData>
            </a:graphic>
          </wp:inline>
        </w:drawing>
      </w:r>
      <w:r>
        <w:rPr>
          <w:rFonts w:ascii="Times New Roman" w:hAnsi="Times New Roman" w:eastAsia="Times New Roman" w:cs="Times New Roman"/>
          <w:sz w:val="28"/>
          <w:szCs w:val="28"/>
          <w:lang w:eastAsia="ru-RU"/>
        </w:rPr>
        <w:drawing>
          <wp:inline distT="0" distB="0" distL="0" distR="0">
            <wp:extent cx="6153785" cy="8895715"/>
            <wp:effectExtent l="0" t="0" r="18415" b="635"/>
            <wp:docPr id="121" name="Рисунок 121" descr="C:\Users\kgmuuser\AppData\Local\Temp\ksohtml7396\wps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Рисунок 121" descr="C:\Users\kgmuuser\AppData\Local\Temp\ksohtml7396\wps37.jp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a:xfrm>
                      <a:off x="0" y="0"/>
                      <a:ext cx="6153785" cy="8895715"/>
                    </a:xfrm>
                    <a:prstGeom prst="rect">
                      <a:avLst/>
                    </a:prstGeom>
                    <a:noFill/>
                    <a:ln>
                      <a:noFill/>
                    </a:ln>
                  </pic:spPr>
                </pic:pic>
              </a:graphicData>
            </a:graphic>
          </wp:inline>
        </w:drawing>
      </w:r>
      <w:r>
        <w:rPr>
          <w:rFonts w:ascii="Times New Roman" w:hAnsi="Times New Roman" w:eastAsia="Times New Roman" w:cs="Times New Roman"/>
          <w:sz w:val="28"/>
          <w:szCs w:val="28"/>
          <w:lang w:eastAsia="ru-RU"/>
        </w:rPr>
        <w:drawing>
          <wp:inline distT="0" distB="0" distL="0" distR="0">
            <wp:extent cx="6210935" cy="8818245"/>
            <wp:effectExtent l="0" t="0" r="18415" b="1905"/>
            <wp:docPr id="122" name="Рисунок 122" descr="C:\Users\kgmuuser\AppData\Local\Temp\ksohtml7396\wps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Рисунок 122" descr="C:\Users\kgmuuser\AppData\Local\Temp\ksohtml7396\wps38.jp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a:xfrm>
                      <a:off x="0" y="0"/>
                      <a:ext cx="6210935" cy="8818245"/>
                    </a:xfrm>
                    <a:prstGeom prst="rect">
                      <a:avLst/>
                    </a:prstGeom>
                    <a:noFill/>
                    <a:ln>
                      <a:noFill/>
                    </a:ln>
                  </pic:spPr>
                </pic:pic>
              </a:graphicData>
            </a:graphic>
          </wp:inline>
        </w:drawing>
      </w:r>
    </w:p>
    <w:p w14:paraId="59C5C735">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p>
    <w:p w14:paraId="13781712">
      <w:pPr>
        <w:widowControl w:val="0"/>
        <w:autoSpaceDE w:val="0"/>
        <w:autoSpaceDN w:val="0"/>
        <w:spacing w:after="0" w:line="276" w:lineRule="auto"/>
        <w:outlineLvl w:val="0"/>
        <w:rPr>
          <w:rFonts w:ascii="Times New Roman" w:hAnsi="Times New Roman" w:eastAsia="Times New Roman" w:cs="Times New Roman"/>
          <w:sz w:val="28"/>
          <w:szCs w:val="28"/>
          <w:lang w:eastAsia="ru-RU"/>
        </w:rPr>
      </w:pPr>
      <w:r>
        <w:rPr>
          <w:rFonts w:ascii="Times New Roman" w:hAnsi="Times New Roman" w:eastAsia="Times New Roman" w:cs="Times New Roman"/>
          <w:b/>
          <w:sz w:val="28"/>
          <w:szCs w:val="28"/>
          <w:lang w:eastAsia="ru-RU"/>
        </w:rPr>
        <w:t>ҚОСЫМША</w:t>
      </w:r>
      <w:r>
        <w:rPr>
          <w:rFonts w:ascii="Times New Roman" w:hAnsi="Times New Roman" w:eastAsia="Times New Roman" w:cs="Times New Roman"/>
          <w:b/>
          <w:sz w:val="28"/>
          <w:szCs w:val="28"/>
          <w:lang w:val="kk-KZ" w:eastAsia="ru-RU"/>
        </w:rPr>
        <w:t xml:space="preserve"> Ә</w:t>
      </w:r>
      <w:r>
        <w:rPr>
          <w:rFonts w:ascii="Times New Roman" w:hAnsi="Times New Roman" w:eastAsia="Times New Roman" w:cs="Times New Roman"/>
          <w:b/>
          <w:sz w:val="28"/>
          <w:szCs w:val="28"/>
          <w:lang w:val="en-US" w:eastAsia="ru-RU"/>
        </w:rPr>
        <w:t xml:space="preserve"> </w:t>
      </w:r>
      <w:r>
        <w:rPr>
          <w:rFonts w:ascii="Times New Roman" w:hAnsi="Times New Roman" w:eastAsia="Times New Roman" w:cs="Times New Roman"/>
          <w:sz w:val="28"/>
          <w:szCs w:val="28"/>
          <w:lang w:eastAsia="ru-RU"/>
        </w:rPr>
        <w:drawing>
          <wp:inline distT="0" distB="0" distL="0" distR="0">
            <wp:extent cx="6133465" cy="8632825"/>
            <wp:effectExtent l="0" t="0" r="635" b="15875"/>
            <wp:docPr id="123" name="Рисунок 123" descr="C:\Users\kgmuuser\AppData\Local\Temp\ksohtml7396\wps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Рисунок 123" descr="C:\Users\kgmuuser\AppData\Local\Temp\ksohtml7396\wps39.pn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a:xfrm>
                      <a:off x="0" y="0"/>
                      <a:ext cx="6133465" cy="8632825"/>
                    </a:xfrm>
                    <a:prstGeom prst="rect">
                      <a:avLst/>
                    </a:prstGeom>
                    <a:noFill/>
                    <a:ln>
                      <a:noFill/>
                    </a:ln>
                  </pic:spPr>
                </pic:pic>
              </a:graphicData>
            </a:graphic>
          </wp:inline>
        </w:drawing>
      </w:r>
      <w:r>
        <w:rPr>
          <w:rFonts w:ascii="Times New Roman" w:hAnsi="Times New Roman" w:eastAsia="Times New Roman" w:cs="Times New Roman"/>
          <w:sz w:val="28"/>
          <w:szCs w:val="28"/>
          <w:lang w:eastAsia="ru-RU"/>
        </w:rPr>
        <w:t xml:space="preserve"> </w:t>
      </w:r>
    </w:p>
    <w:p w14:paraId="0119C6B7">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ab/>
      </w:r>
    </w:p>
    <w:p w14:paraId="54E8FE4C">
      <w:pPr>
        <w:widowControl w:val="0"/>
        <w:autoSpaceDE w:val="0"/>
        <w:autoSpaceDN w:val="0"/>
        <w:spacing w:after="0" w:line="276" w:lineRule="auto"/>
        <w:ind w:firstLine="709"/>
        <w:jc w:val="both"/>
        <w:outlineLvl w:val="0"/>
        <w:rPr>
          <w:rFonts w:ascii="Times New Roman" w:hAnsi="Times New Roman" w:eastAsia="Times New Roman" w:cs="Times New Roman"/>
          <w:b/>
          <w:sz w:val="28"/>
          <w:szCs w:val="28"/>
          <w:lang w:eastAsia="ru-RU"/>
        </w:rPr>
      </w:pPr>
      <w:r>
        <w:rPr>
          <w:rFonts w:ascii="Times New Roman" w:hAnsi="Times New Roman" w:eastAsia="Times New Roman" w:cs="Times New Roman"/>
          <w:sz w:val="28"/>
          <w:szCs w:val="28"/>
          <w:lang w:eastAsia="ru-RU"/>
        </w:rPr>
        <w:t xml:space="preserve"> </w:t>
      </w:r>
      <w:r>
        <w:rPr>
          <w:rFonts w:ascii="Times New Roman" w:hAnsi="Times New Roman" w:eastAsia="Times New Roman" w:cs="Times New Roman"/>
          <w:sz w:val="28"/>
          <w:szCs w:val="28"/>
          <w:lang w:eastAsia="ru-RU"/>
        </w:rPr>
        <w:drawing>
          <wp:inline distT="0" distB="0" distL="0" distR="0">
            <wp:extent cx="5960110" cy="8700770"/>
            <wp:effectExtent l="0" t="0" r="2540" b="5080"/>
            <wp:docPr id="124" name="Рисунок 124" descr="C:\Users\kgmuuser\AppData\Local\Temp\ksohtml7396\wps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Рисунок 124" descr="C:\Users\kgmuuser\AppData\Local\Temp\ksohtml7396\wps40.pn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a:xfrm>
                      <a:off x="0" y="0"/>
                      <a:ext cx="5960110" cy="8700770"/>
                    </a:xfrm>
                    <a:prstGeom prst="rect">
                      <a:avLst/>
                    </a:prstGeom>
                    <a:noFill/>
                    <a:ln>
                      <a:noFill/>
                    </a:ln>
                  </pic:spPr>
                </pic:pic>
              </a:graphicData>
            </a:graphic>
          </wp:inline>
        </w:drawing>
      </w:r>
    </w:p>
    <w:p w14:paraId="09707CB6">
      <w:pPr>
        <w:widowControl w:val="0"/>
        <w:autoSpaceDE w:val="0"/>
        <w:autoSpaceDN w:val="0"/>
        <w:spacing w:after="0" w:line="276" w:lineRule="auto"/>
        <w:ind w:firstLine="709"/>
        <w:jc w:val="both"/>
        <w:outlineLvl w:val="0"/>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eastAsia="ru-RU"/>
        </w:rPr>
        <w:t>ҚОСЫМША Б</w:t>
      </w:r>
    </w:p>
    <w:p w14:paraId="3B6CFB8E">
      <w:pPr>
        <w:widowControl w:val="0"/>
        <w:autoSpaceDE w:val="0"/>
        <w:autoSpaceDN w:val="0"/>
        <w:spacing w:after="0" w:line="276" w:lineRule="auto"/>
        <w:jc w:val="both"/>
        <w:outlineLvl w:val="0"/>
        <w:rPr>
          <w:rFonts w:ascii="Times New Roman" w:hAnsi="Times New Roman" w:eastAsia="Times New Roman" w:cs="Times New Roman"/>
          <w:b/>
          <w:sz w:val="28"/>
          <w:szCs w:val="28"/>
          <w:lang w:eastAsia="ru-RU"/>
        </w:rPr>
      </w:pPr>
      <w:r>
        <w:rPr>
          <w:rFonts w:ascii="Times New Roman" w:hAnsi="Times New Roman" w:eastAsia="Times New Roman" w:cs="Times New Roman"/>
          <w:sz w:val="28"/>
          <w:szCs w:val="28"/>
          <w:lang w:eastAsia="ru-RU"/>
        </w:rPr>
        <w:drawing>
          <wp:inline distT="0" distB="0" distL="0" distR="0">
            <wp:extent cx="5431155" cy="6969125"/>
            <wp:effectExtent l="0" t="0" r="0" b="3175"/>
            <wp:docPr id="125" name="Рисунок 125" descr="C:\Users\kgmuuser\AppData\Local\Temp\ksohtml7396\wps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Рисунок 125" descr="C:\Users\kgmuuser\AppData\Local\Temp\ksohtml7396\wps41.jp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a:xfrm>
                      <a:off x="0" y="0"/>
                      <a:ext cx="5431155" cy="6969125"/>
                    </a:xfrm>
                    <a:prstGeom prst="rect">
                      <a:avLst/>
                    </a:prstGeom>
                    <a:noFill/>
                    <a:ln>
                      <a:noFill/>
                    </a:ln>
                  </pic:spPr>
                </pic:pic>
              </a:graphicData>
            </a:graphic>
          </wp:inline>
        </w:drawing>
      </w:r>
      <w:r>
        <w:rPr>
          <w:rFonts w:ascii="Times New Roman" w:hAnsi="Times New Roman" w:eastAsia="Times New Roman" w:cs="Times New Roman"/>
          <w:b/>
          <w:sz w:val="28"/>
          <w:szCs w:val="28"/>
          <w:lang w:eastAsia="ru-RU"/>
        </w:rPr>
        <w:t xml:space="preserve"> </w:t>
      </w:r>
    </w:p>
    <w:p w14:paraId="5EFB3B38">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ab/>
      </w:r>
    </w:p>
    <w:p w14:paraId="671BBBDE">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 </w:t>
      </w:r>
    </w:p>
    <w:p w14:paraId="2E031C66">
      <w:pPr>
        <w:widowControl w:val="0"/>
        <w:autoSpaceDE w:val="0"/>
        <w:autoSpaceDN w:val="0"/>
        <w:spacing w:after="0" w:line="276" w:lineRule="auto"/>
        <w:ind w:firstLine="709"/>
        <w:jc w:val="both"/>
        <w:outlineLvl w:val="0"/>
        <w:rPr>
          <w:rFonts w:ascii="Times New Roman" w:hAnsi="Times New Roman" w:eastAsia="Times New Roman" w:cs="Times New Roman"/>
          <w:b/>
          <w:bCs/>
          <w:kern w:val="36"/>
          <w:sz w:val="28"/>
          <w:szCs w:val="28"/>
          <w:lang w:eastAsia="ru-RU"/>
        </w:rPr>
      </w:pPr>
      <w:r>
        <w:rPr>
          <w:rFonts w:ascii="Times New Roman" w:hAnsi="Times New Roman" w:eastAsia="Times New Roman" w:cs="Times New Roman"/>
          <w:b/>
          <w:bCs/>
          <w:kern w:val="36"/>
          <w:sz w:val="28"/>
          <w:szCs w:val="28"/>
          <w:lang w:eastAsia="ru-RU"/>
        </w:rPr>
        <w:t xml:space="preserve"> </w:t>
      </w:r>
    </w:p>
    <w:p w14:paraId="48654C59">
      <w:pPr>
        <w:widowControl w:val="0"/>
        <w:autoSpaceDE w:val="0"/>
        <w:autoSpaceDN w:val="0"/>
        <w:spacing w:after="0" w:line="276" w:lineRule="auto"/>
        <w:ind w:firstLine="709"/>
        <w:jc w:val="both"/>
        <w:outlineLvl w:val="0"/>
        <w:rPr>
          <w:rFonts w:ascii="Times New Roman" w:hAnsi="Times New Roman" w:eastAsia="Times New Roman" w:cs="Times New Roman"/>
          <w:b/>
          <w:bCs/>
          <w:kern w:val="36"/>
          <w:sz w:val="28"/>
          <w:szCs w:val="28"/>
          <w:lang w:eastAsia="ru-RU"/>
        </w:rPr>
      </w:pPr>
      <w:r>
        <w:rPr>
          <w:rFonts w:ascii="Times New Roman" w:hAnsi="Times New Roman" w:eastAsia="Times New Roman" w:cs="Times New Roman"/>
          <w:b/>
          <w:bCs/>
          <w:kern w:val="36"/>
          <w:sz w:val="28"/>
          <w:szCs w:val="28"/>
          <w:lang w:eastAsia="ru-RU"/>
        </w:rPr>
        <w:t xml:space="preserve"> </w:t>
      </w:r>
    </w:p>
    <w:p w14:paraId="712EBD42">
      <w:pPr>
        <w:widowControl w:val="0"/>
        <w:autoSpaceDE w:val="0"/>
        <w:autoSpaceDN w:val="0"/>
        <w:spacing w:after="0" w:line="276" w:lineRule="auto"/>
        <w:ind w:firstLine="709"/>
        <w:jc w:val="both"/>
        <w:outlineLvl w:val="0"/>
        <w:rPr>
          <w:rFonts w:ascii="Times New Roman" w:hAnsi="Times New Roman" w:eastAsia="Times New Roman" w:cs="Times New Roman"/>
          <w:b/>
          <w:bCs/>
          <w:kern w:val="36"/>
          <w:sz w:val="28"/>
          <w:szCs w:val="28"/>
          <w:lang w:eastAsia="ru-RU"/>
        </w:rPr>
      </w:pPr>
      <w:r>
        <w:rPr>
          <w:rFonts w:ascii="Times New Roman" w:hAnsi="Times New Roman" w:eastAsia="Times New Roman" w:cs="Times New Roman"/>
          <w:b/>
          <w:bCs/>
          <w:kern w:val="36"/>
          <w:sz w:val="28"/>
          <w:szCs w:val="28"/>
          <w:lang w:eastAsia="ru-RU"/>
        </w:rPr>
        <w:t xml:space="preserve"> </w:t>
      </w:r>
    </w:p>
    <w:p w14:paraId="291F7F65">
      <w:pPr>
        <w:widowControl w:val="0"/>
        <w:autoSpaceDE w:val="0"/>
        <w:autoSpaceDN w:val="0"/>
        <w:spacing w:after="0" w:line="276" w:lineRule="auto"/>
        <w:ind w:firstLine="709"/>
        <w:jc w:val="both"/>
        <w:outlineLvl w:val="0"/>
        <w:rPr>
          <w:rFonts w:ascii="Times New Roman" w:hAnsi="Times New Roman" w:eastAsia="Times New Roman" w:cs="Times New Roman"/>
          <w:b/>
          <w:bCs/>
          <w:kern w:val="36"/>
          <w:sz w:val="28"/>
          <w:szCs w:val="28"/>
          <w:lang w:eastAsia="ru-RU"/>
        </w:rPr>
      </w:pPr>
      <w:r>
        <w:rPr>
          <w:rFonts w:ascii="Times New Roman" w:hAnsi="Times New Roman" w:eastAsia="Times New Roman" w:cs="Times New Roman"/>
          <w:b/>
          <w:bCs/>
          <w:kern w:val="36"/>
          <w:sz w:val="28"/>
          <w:szCs w:val="28"/>
          <w:lang w:eastAsia="ru-RU"/>
        </w:rPr>
        <w:t xml:space="preserve"> </w:t>
      </w:r>
    </w:p>
    <w:p w14:paraId="38670741">
      <w:pPr>
        <w:widowControl w:val="0"/>
        <w:autoSpaceDE w:val="0"/>
        <w:autoSpaceDN w:val="0"/>
        <w:spacing w:after="0" w:line="276" w:lineRule="auto"/>
        <w:ind w:firstLine="709"/>
        <w:jc w:val="both"/>
        <w:outlineLvl w:val="0"/>
        <w:rPr>
          <w:rFonts w:ascii="Times New Roman" w:hAnsi="Times New Roman" w:eastAsia="Times New Roman" w:cs="Times New Roman"/>
          <w:b/>
          <w:bCs/>
          <w:kern w:val="36"/>
          <w:sz w:val="28"/>
          <w:szCs w:val="28"/>
          <w:lang w:eastAsia="ru-RU"/>
        </w:rPr>
      </w:pPr>
      <w:r>
        <w:rPr>
          <w:rFonts w:ascii="Times New Roman" w:hAnsi="Times New Roman" w:eastAsia="Times New Roman" w:cs="Times New Roman"/>
          <w:b/>
          <w:bCs/>
          <w:kern w:val="36"/>
          <w:sz w:val="28"/>
          <w:szCs w:val="28"/>
          <w:lang w:eastAsia="ru-RU"/>
        </w:rPr>
        <w:t xml:space="preserve"> </w:t>
      </w:r>
    </w:p>
    <w:p w14:paraId="0F79E1D9">
      <w:pPr>
        <w:widowControl w:val="0"/>
        <w:autoSpaceDE w:val="0"/>
        <w:autoSpaceDN w:val="0"/>
        <w:spacing w:after="0" w:line="276" w:lineRule="auto"/>
        <w:ind w:firstLine="709"/>
        <w:jc w:val="both"/>
        <w:outlineLvl w:val="0"/>
        <w:rPr>
          <w:rFonts w:ascii="Times New Roman" w:hAnsi="Times New Roman" w:eastAsia="Times New Roman" w:cs="Times New Roman"/>
          <w:b/>
          <w:bCs/>
          <w:kern w:val="36"/>
          <w:sz w:val="28"/>
          <w:szCs w:val="28"/>
          <w:lang w:eastAsia="ru-RU"/>
        </w:rPr>
      </w:pPr>
    </w:p>
    <w:p w14:paraId="638E1FFA">
      <w:pPr>
        <w:widowControl w:val="0"/>
        <w:autoSpaceDE w:val="0"/>
        <w:autoSpaceDN w:val="0"/>
        <w:spacing w:after="0" w:line="276" w:lineRule="auto"/>
        <w:ind w:firstLine="709"/>
        <w:jc w:val="both"/>
        <w:outlineLvl w:val="0"/>
        <w:rPr>
          <w:rFonts w:ascii="Times New Roman" w:hAnsi="Times New Roman" w:eastAsia="Times New Roman" w:cs="Times New Roman"/>
          <w:b/>
          <w:bCs/>
          <w:kern w:val="36"/>
          <w:sz w:val="28"/>
          <w:szCs w:val="28"/>
          <w:lang w:eastAsia="ru-RU"/>
        </w:rPr>
      </w:pPr>
    </w:p>
    <w:p w14:paraId="5E6DB214">
      <w:pPr>
        <w:widowControl w:val="0"/>
        <w:autoSpaceDE w:val="0"/>
        <w:autoSpaceDN w:val="0"/>
        <w:spacing w:after="0" w:line="276" w:lineRule="auto"/>
        <w:ind w:firstLine="709"/>
        <w:jc w:val="both"/>
        <w:outlineLvl w:val="0"/>
        <w:rPr>
          <w:rFonts w:ascii="Times New Roman" w:hAnsi="Times New Roman" w:eastAsia="Times New Roman" w:cs="Times New Roman"/>
          <w:b/>
          <w:bCs/>
          <w:kern w:val="36"/>
          <w:sz w:val="28"/>
          <w:szCs w:val="28"/>
          <w:lang w:eastAsia="ru-RU"/>
        </w:rPr>
      </w:pPr>
      <w:r>
        <w:rPr>
          <w:rFonts w:ascii="Times New Roman" w:hAnsi="Times New Roman" w:eastAsia="Times New Roman" w:cs="Times New Roman"/>
          <w:b/>
          <w:bCs/>
          <w:kern w:val="36"/>
          <w:sz w:val="28"/>
          <w:szCs w:val="28"/>
          <w:lang w:eastAsia="ru-RU"/>
        </w:rPr>
        <w:t>ҚОСЫМША В</w:t>
      </w:r>
    </w:p>
    <w:p w14:paraId="31559790">
      <w:pPr>
        <w:widowControl w:val="0"/>
        <w:autoSpaceDE w:val="0"/>
        <w:autoSpaceDN w:val="0"/>
        <w:spacing w:after="0" w:line="276" w:lineRule="auto"/>
        <w:ind w:firstLine="709"/>
        <w:jc w:val="both"/>
        <w:outlineLvl w:val="0"/>
        <w:rPr>
          <w:rFonts w:ascii="Times New Roman" w:hAnsi="Times New Roman" w:eastAsia="Times New Roman" w:cs="Times New Roman"/>
          <w:b/>
          <w:bCs/>
          <w:kern w:val="36"/>
          <w:sz w:val="28"/>
          <w:szCs w:val="28"/>
          <w:lang w:eastAsia="ru-RU"/>
        </w:rPr>
      </w:pPr>
      <w:r>
        <w:rPr>
          <w:rFonts w:ascii="Times New Roman" w:hAnsi="Times New Roman" w:eastAsia="Times New Roman" w:cs="Times New Roman"/>
          <w:b/>
          <w:bCs/>
          <w:kern w:val="36"/>
          <w:sz w:val="28"/>
          <w:szCs w:val="28"/>
          <w:lang w:eastAsia="ru-RU"/>
        </w:rPr>
        <w:t xml:space="preserve"> </w:t>
      </w:r>
    </w:p>
    <w:p w14:paraId="3BA4312D">
      <w:pPr>
        <w:widowControl w:val="0"/>
        <w:autoSpaceDE w:val="0"/>
        <w:autoSpaceDN w:val="0"/>
        <w:spacing w:after="0" w:line="276" w:lineRule="auto"/>
        <w:jc w:val="both"/>
        <w:outlineLvl w:val="0"/>
        <w:rPr>
          <w:rFonts w:ascii="Times New Roman" w:hAnsi="Times New Roman" w:eastAsia="Times New Roman" w:cs="Times New Roman"/>
          <w:b/>
          <w:bCs/>
          <w:kern w:val="36"/>
          <w:sz w:val="28"/>
          <w:szCs w:val="28"/>
          <w:lang w:eastAsia="ru-RU"/>
        </w:rPr>
      </w:pPr>
      <w:r>
        <w:rPr>
          <w:rFonts w:ascii="Times New Roman" w:hAnsi="Times New Roman" w:eastAsia="Times New Roman" w:cs="Times New Roman"/>
          <w:b/>
          <w:bCs/>
          <w:kern w:val="36"/>
          <w:sz w:val="28"/>
          <w:szCs w:val="28"/>
          <w:lang w:eastAsia="ru-RU"/>
        </w:rPr>
        <w:drawing>
          <wp:inline distT="0" distB="0" distL="0" distR="0">
            <wp:extent cx="5937885" cy="7364095"/>
            <wp:effectExtent l="0" t="0" r="5715" b="8255"/>
            <wp:docPr id="126" name="Рисунок 126" descr="C:\Users\kgmuuser\AppData\Local\Temp\ksohtml7396\wps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Рисунок 126" descr="C:\Users\kgmuuser\AppData\Local\Temp\ksohtml7396\wps42.jp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a:xfrm>
                      <a:off x="0" y="0"/>
                      <a:ext cx="5937885" cy="7364095"/>
                    </a:xfrm>
                    <a:prstGeom prst="rect">
                      <a:avLst/>
                    </a:prstGeom>
                    <a:noFill/>
                    <a:ln>
                      <a:noFill/>
                    </a:ln>
                  </pic:spPr>
                </pic:pic>
              </a:graphicData>
            </a:graphic>
          </wp:inline>
        </w:drawing>
      </w:r>
      <w:r>
        <w:rPr>
          <w:rFonts w:ascii="Times New Roman" w:hAnsi="Times New Roman" w:eastAsia="Times New Roman" w:cs="Times New Roman"/>
          <w:b/>
          <w:bCs/>
          <w:kern w:val="36"/>
          <w:sz w:val="28"/>
          <w:szCs w:val="28"/>
          <w:lang w:eastAsia="ru-RU"/>
        </w:rPr>
        <w:t xml:space="preserve"> </w:t>
      </w:r>
    </w:p>
    <w:p w14:paraId="24FF583A">
      <w:pPr>
        <w:widowControl w:val="0"/>
        <w:autoSpaceDE w:val="0"/>
        <w:autoSpaceDN w:val="0"/>
        <w:spacing w:after="0" w:line="276" w:lineRule="auto"/>
        <w:ind w:firstLine="709"/>
        <w:jc w:val="both"/>
        <w:outlineLvl w:val="0"/>
        <w:rPr>
          <w:rFonts w:ascii="Times New Roman" w:hAnsi="Times New Roman" w:eastAsia="Times New Roman" w:cs="Times New Roman"/>
          <w:b/>
          <w:bCs/>
          <w:kern w:val="36"/>
          <w:sz w:val="28"/>
          <w:szCs w:val="28"/>
          <w:lang w:eastAsia="ru-RU"/>
        </w:rPr>
      </w:pPr>
      <w:r>
        <w:rPr>
          <w:rFonts w:ascii="Times New Roman" w:hAnsi="Times New Roman" w:eastAsia="Times New Roman" w:cs="Times New Roman"/>
          <w:b/>
          <w:bCs/>
          <w:kern w:val="36"/>
          <w:sz w:val="28"/>
          <w:szCs w:val="28"/>
          <w:lang w:eastAsia="ru-RU"/>
        </w:rPr>
        <w:t xml:space="preserve"> </w:t>
      </w:r>
    </w:p>
    <w:p w14:paraId="72E86A7B">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 </w:t>
      </w:r>
    </w:p>
    <w:p w14:paraId="5949E07A">
      <w:pPr>
        <w:widowControl w:val="0"/>
        <w:autoSpaceDE w:val="0"/>
        <w:autoSpaceDN w:val="0"/>
        <w:spacing w:after="0" w:line="276" w:lineRule="auto"/>
        <w:ind w:firstLine="709"/>
        <w:jc w:val="both"/>
        <w:outlineLv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 </w:t>
      </w:r>
    </w:p>
    <w:p w14:paraId="59DAB00C">
      <w:pPr>
        <w:widowControl w:val="0"/>
        <w:autoSpaceDE w:val="0"/>
        <w:autoSpaceDN w:val="0"/>
        <w:spacing w:after="0" w:line="276" w:lineRule="auto"/>
        <w:ind w:firstLine="709"/>
        <w:jc w:val="both"/>
        <w:outlineLvl w:val="0"/>
        <w:rPr>
          <w:rFonts w:ascii="Times New Roman" w:hAnsi="Times New Roman" w:cs="Times New Roman"/>
          <w:sz w:val="28"/>
          <w:szCs w:val="28"/>
        </w:rPr>
      </w:pPr>
      <w:r>
        <w:rPr>
          <w:rFonts w:ascii="Times New Roman" w:hAnsi="Times New Roman" w:eastAsia="Times New Roman" w:cs="Times New Roman"/>
          <w:sz w:val="28"/>
          <w:szCs w:val="28"/>
          <w:lang w:eastAsia="ru-RU"/>
        </w:rPr>
        <w:t xml:space="preserve"> </w:t>
      </w:r>
    </w:p>
    <w:sectPr>
      <w:pgSz w:w="11906" w:h="16838"/>
      <w:pgMar w:top="1134" w:right="850" w:bottom="1134"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 w:name="Symbol">
    <w:panose1 w:val="05050102010706020507"/>
    <w:charset w:val="02"/>
    <w:family w:val="roman"/>
    <w:pitch w:val="default"/>
    <w:sig w:usb0="00000000" w:usb1="00000000" w:usb2="00000000" w:usb3="00000000" w:csb0="8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3C8768">
    <w:pPr>
      <w:pStyle w:val="11"/>
    </w:pPr>
    <w:r>
      <w:rPr>
        <w:lang w:eastAsia="ru-RU"/>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Текстовое поле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982A4A5">
                          <w:pPr>
                            <w:pStyle w:val="11"/>
                          </w:pPr>
                          <w:r>
                            <w:fldChar w:fldCharType="begin"/>
                          </w:r>
                          <w:r>
                            <w:instrText xml:space="preserve"> PAGE  \* MERGEFORMAT </w:instrText>
                          </w:r>
                          <w:r>
                            <w:fldChar w:fldCharType="separate"/>
                          </w:r>
                          <w:r>
                            <w:t>12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CzSVju0AAAAAUBAAAPAAAAAAAAAAEAIAAAACIAAABkcnMvZG93bnJldi54&#10;bWxQSwECFAAUAAAACACHTuJAKPV/8TsCAABnBAAADgAAAAAAAAABACAAAAAfAQAAZHJzL2Uyb0Rv&#10;Yy54bWxQSwUGAAAAAAYABgBZAQAAzAUAAAAA&#10;">
              <v:fill on="f" focussize="0,0"/>
              <v:stroke on="f" weight="0.5pt"/>
              <v:imagedata o:title=""/>
              <o:lock v:ext="edit" aspectratio="f"/>
              <v:textbox inset="0mm,0mm,0mm,0mm" style="mso-fit-shape-to-text:t;">
                <w:txbxContent>
                  <w:p w14:paraId="4982A4A5">
                    <w:pPr>
                      <w:pStyle w:val="11"/>
                    </w:pPr>
                    <w:r>
                      <w:fldChar w:fldCharType="begin"/>
                    </w:r>
                    <w:r>
                      <w:instrText xml:space="preserve"> PAGE  \* MERGEFORMAT </w:instrText>
                    </w:r>
                    <w:r>
                      <w:fldChar w:fldCharType="separate"/>
                    </w:r>
                    <w:r>
                      <w:t>12</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743AA96"/>
    <w:multiLevelType w:val="singleLevel"/>
    <w:tmpl w:val="C743AA96"/>
    <w:lvl w:ilvl="0" w:tentative="0">
      <w:start w:val="1"/>
      <w:numFmt w:val="decimal"/>
      <w:suff w:val="space"/>
      <w:lvlText w:val="%1."/>
      <w:lvlJc w:val="left"/>
    </w:lvl>
  </w:abstractNum>
  <w:abstractNum w:abstractNumId="1">
    <w:nsid w:val="DFCE1463"/>
    <w:multiLevelType w:val="multilevel"/>
    <w:tmpl w:val="DFCE1463"/>
    <w:lvl w:ilvl="0" w:tentative="0">
      <w:start w:val="1"/>
      <w:numFmt w:val="decimal"/>
      <w:lvlText w:val="%1."/>
      <w:lvlJc w:val="left"/>
      <w:pPr>
        <w:tabs>
          <w:tab w:val="left" w:pos="425"/>
        </w:tabs>
        <w:ind w:left="425" w:hanging="65"/>
      </w:pPr>
      <w:rPr>
        <w:rFonts w:hint="default"/>
      </w:rPr>
    </w:lvl>
    <w:lvl w:ilvl="1" w:tentative="0">
      <w:start w:val="1"/>
      <w:numFmt w:val="lowerLetter"/>
      <w:lvlText w:val="%2."/>
      <w:lvlJc w:val="left"/>
      <w:pPr>
        <w:tabs>
          <w:tab w:val="left" w:pos="425"/>
        </w:tabs>
        <w:ind w:left="425" w:firstLine="655"/>
      </w:pPr>
      <w:rPr>
        <w:rFonts w:hint="default"/>
      </w:rPr>
    </w:lvl>
    <w:lvl w:ilvl="2" w:tentative="0">
      <w:start w:val="1"/>
      <w:numFmt w:val="lowerRoman"/>
      <w:lvlText w:val="%3."/>
      <w:lvlJc w:val="right"/>
      <w:pPr>
        <w:tabs>
          <w:tab w:val="left" w:pos="425"/>
        </w:tabs>
        <w:ind w:left="425" w:firstLine="1555"/>
      </w:pPr>
      <w:rPr>
        <w:rFonts w:hint="default"/>
      </w:rPr>
    </w:lvl>
    <w:lvl w:ilvl="3" w:tentative="0">
      <w:start w:val="1"/>
      <w:numFmt w:val="decimal"/>
      <w:lvlText w:val="%4."/>
      <w:lvlJc w:val="left"/>
      <w:pPr>
        <w:tabs>
          <w:tab w:val="left" w:pos="425"/>
        </w:tabs>
        <w:ind w:left="425" w:firstLine="2095"/>
      </w:pPr>
      <w:rPr>
        <w:rFonts w:hint="default"/>
      </w:rPr>
    </w:lvl>
    <w:lvl w:ilvl="4" w:tentative="0">
      <w:start w:val="1"/>
      <w:numFmt w:val="lowerLetter"/>
      <w:lvlText w:val="%5."/>
      <w:lvlJc w:val="left"/>
      <w:pPr>
        <w:tabs>
          <w:tab w:val="left" w:pos="425"/>
        </w:tabs>
        <w:ind w:left="425" w:firstLine="2815"/>
      </w:pPr>
      <w:rPr>
        <w:rFonts w:hint="default"/>
      </w:rPr>
    </w:lvl>
    <w:lvl w:ilvl="5" w:tentative="0">
      <w:start w:val="1"/>
      <w:numFmt w:val="lowerRoman"/>
      <w:lvlText w:val="%6."/>
      <w:lvlJc w:val="right"/>
      <w:pPr>
        <w:tabs>
          <w:tab w:val="left" w:pos="425"/>
        </w:tabs>
        <w:ind w:left="425" w:firstLine="3715"/>
      </w:pPr>
      <w:rPr>
        <w:rFonts w:hint="default"/>
      </w:rPr>
    </w:lvl>
    <w:lvl w:ilvl="6" w:tentative="0">
      <w:start w:val="1"/>
      <w:numFmt w:val="decimal"/>
      <w:lvlText w:val="%7."/>
      <w:lvlJc w:val="left"/>
      <w:pPr>
        <w:tabs>
          <w:tab w:val="left" w:pos="425"/>
        </w:tabs>
        <w:ind w:left="425" w:firstLine="4255"/>
      </w:pPr>
      <w:rPr>
        <w:rFonts w:hint="default"/>
      </w:rPr>
    </w:lvl>
    <w:lvl w:ilvl="7" w:tentative="0">
      <w:start w:val="1"/>
      <w:numFmt w:val="lowerLetter"/>
      <w:lvlText w:val="%8."/>
      <w:lvlJc w:val="left"/>
      <w:pPr>
        <w:tabs>
          <w:tab w:val="left" w:pos="425"/>
        </w:tabs>
        <w:ind w:left="425" w:firstLine="4975"/>
      </w:pPr>
      <w:rPr>
        <w:rFonts w:hint="default"/>
      </w:rPr>
    </w:lvl>
    <w:lvl w:ilvl="8" w:tentative="0">
      <w:start w:val="1"/>
      <w:numFmt w:val="lowerRoman"/>
      <w:lvlText w:val="%9."/>
      <w:lvlJc w:val="right"/>
      <w:pPr>
        <w:tabs>
          <w:tab w:val="left" w:pos="425"/>
        </w:tabs>
        <w:ind w:left="425" w:firstLine="5875"/>
      </w:pPr>
      <w:rPr>
        <w:rFonts w:hint="default"/>
      </w:rPr>
    </w:lvl>
  </w:abstractNum>
  <w:abstractNum w:abstractNumId="2">
    <w:nsid w:val="EF87A51A"/>
    <w:multiLevelType w:val="multilevel"/>
    <w:tmpl w:val="EF87A51A"/>
    <w:lvl w:ilvl="0" w:tentative="0">
      <w:start w:val="1"/>
      <w:numFmt w:val="decimal"/>
      <w:lvlText w:val="%1."/>
      <w:lvlJc w:val="left"/>
      <w:pPr>
        <w:tabs>
          <w:tab w:val="left" w:pos="425"/>
        </w:tabs>
        <w:ind w:left="425" w:leftChars="0" w:hanging="65" w:firstLineChars="0"/>
      </w:pPr>
      <w:rPr>
        <w:rFonts w:hint="default"/>
      </w:rPr>
    </w:lvl>
    <w:lvl w:ilvl="1" w:tentative="0">
      <w:start w:val="1"/>
      <w:numFmt w:val="lowerLetter"/>
      <w:lvlText w:val="%2."/>
      <w:lvlJc w:val="left"/>
      <w:pPr>
        <w:tabs>
          <w:tab w:val="left" w:pos="425"/>
        </w:tabs>
        <w:ind w:left="425" w:leftChars="0" w:firstLine="655" w:firstLineChars="0"/>
      </w:pPr>
      <w:rPr>
        <w:rFonts w:hint="default"/>
      </w:rPr>
    </w:lvl>
    <w:lvl w:ilvl="2" w:tentative="0">
      <w:start w:val="1"/>
      <w:numFmt w:val="lowerRoman"/>
      <w:lvlText w:val="%3."/>
      <w:lvlJc w:val="right"/>
      <w:pPr>
        <w:tabs>
          <w:tab w:val="left" w:pos="425"/>
        </w:tabs>
        <w:ind w:left="425" w:leftChars="0" w:firstLine="1555" w:firstLineChars="0"/>
      </w:pPr>
      <w:rPr>
        <w:rFonts w:hint="default"/>
      </w:rPr>
    </w:lvl>
    <w:lvl w:ilvl="3" w:tentative="0">
      <w:start w:val="1"/>
      <w:numFmt w:val="decimal"/>
      <w:lvlText w:val="%4."/>
      <w:lvlJc w:val="left"/>
      <w:pPr>
        <w:tabs>
          <w:tab w:val="left" w:pos="425"/>
        </w:tabs>
        <w:ind w:left="425" w:leftChars="0" w:firstLine="2095" w:firstLineChars="0"/>
      </w:pPr>
      <w:rPr>
        <w:rFonts w:hint="default"/>
      </w:rPr>
    </w:lvl>
    <w:lvl w:ilvl="4" w:tentative="0">
      <w:start w:val="1"/>
      <w:numFmt w:val="lowerLetter"/>
      <w:lvlText w:val="%5."/>
      <w:lvlJc w:val="left"/>
      <w:pPr>
        <w:tabs>
          <w:tab w:val="left" w:pos="425"/>
        </w:tabs>
        <w:ind w:left="425" w:leftChars="0" w:firstLine="2815" w:firstLineChars="0"/>
      </w:pPr>
      <w:rPr>
        <w:rFonts w:hint="default"/>
      </w:rPr>
    </w:lvl>
    <w:lvl w:ilvl="5" w:tentative="0">
      <w:start w:val="1"/>
      <w:numFmt w:val="lowerRoman"/>
      <w:lvlText w:val="%6."/>
      <w:lvlJc w:val="right"/>
      <w:pPr>
        <w:tabs>
          <w:tab w:val="left" w:pos="425"/>
        </w:tabs>
        <w:ind w:left="425" w:leftChars="0" w:firstLine="3715" w:firstLineChars="0"/>
      </w:pPr>
      <w:rPr>
        <w:rFonts w:hint="default"/>
      </w:rPr>
    </w:lvl>
    <w:lvl w:ilvl="6" w:tentative="0">
      <w:start w:val="1"/>
      <w:numFmt w:val="decimal"/>
      <w:lvlText w:val="%7."/>
      <w:lvlJc w:val="left"/>
      <w:pPr>
        <w:tabs>
          <w:tab w:val="left" w:pos="425"/>
        </w:tabs>
        <w:ind w:left="425" w:leftChars="0" w:firstLine="4255" w:firstLineChars="0"/>
      </w:pPr>
      <w:rPr>
        <w:rFonts w:hint="default"/>
      </w:rPr>
    </w:lvl>
    <w:lvl w:ilvl="7" w:tentative="0">
      <w:start w:val="1"/>
      <w:numFmt w:val="lowerLetter"/>
      <w:lvlText w:val="%8."/>
      <w:lvlJc w:val="left"/>
      <w:pPr>
        <w:tabs>
          <w:tab w:val="left" w:pos="425"/>
        </w:tabs>
        <w:ind w:left="425" w:leftChars="0" w:firstLine="4975" w:firstLineChars="0"/>
      </w:pPr>
      <w:rPr>
        <w:rFonts w:hint="default"/>
      </w:rPr>
    </w:lvl>
    <w:lvl w:ilvl="8" w:tentative="0">
      <w:start w:val="1"/>
      <w:numFmt w:val="lowerRoman"/>
      <w:lvlText w:val="%9."/>
      <w:lvlJc w:val="right"/>
      <w:pPr>
        <w:tabs>
          <w:tab w:val="left" w:pos="425"/>
        </w:tabs>
        <w:ind w:left="425" w:leftChars="0" w:firstLine="5875" w:firstLineChars="0"/>
      </w:pPr>
      <w:rPr>
        <w:rFonts w:hint="default"/>
      </w:rPr>
    </w:lvl>
  </w:abstractNum>
  <w:abstractNum w:abstractNumId="3">
    <w:nsid w:val="058A2FAF"/>
    <w:multiLevelType w:val="multilevel"/>
    <w:tmpl w:val="058A2FAF"/>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
    <w:nsid w:val="113FBAB1"/>
    <w:multiLevelType w:val="singleLevel"/>
    <w:tmpl w:val="113FBAB1"/>
    <w:lvl w:ilvl="0" w:tentative="0">
      <w:start w:val="1"/>
      <w:numFmt w:val="decimal"/>
      <w:lvlText w:val="%1."/>
      <w:lvlJc w:val="left"/>
      <w:pPr>
        <w:tabs>
          <w:tab w:val="left" w:pos="425"/>
        </w:tabs>
        <w:ind w:left="425" w:hanging="425"/>
      </w:pPr>
      <w:rPr>
        <w:rFonts w:hint="default"/>
      </w:rPr>
    </w:lvl>
  </w:abstractNum>
  <w:abstractNum w:abstractNumId="5">
    <w:nsid w:val="18145F45"/>
    <w:multiLevelType w:val="multilevel"/>
    <w:tmpl w:val="18145F45"/>
    <w:lvl w:ilvl="0" w:tentative="0">
      <w:start w:val="1"/>
      <w:numFmt w:val="decimal"/>
      <w:lvlText w:val="%1."/>
      <w:lvlJc w:val="left"/>
      <w:pPr>
        <w:ind w:left="720" w:hanging="360"/>
      </w:pPr>
      <w:rPr>
        <w:rFonts w:hint="default" w:ascii="Times New Roman" w:hAnsi="Times New Roman" w:cs="Times New Roman"/>
      </w:rPr>
    </w:lvl>
    <w:lvl w:ilvl="1" w:tentative="0">
      <w:start w:val="1"/>
      <w:numFmt w:val="lowerLetter"/>
      <w:lvlText w:val="%2."/>
      <w:lvlJc w:val="left"/>
      <w:pPr>
        <w:ind w:left="1440" w:hanging="360"/>
      </w:pPr>
      <w:rPr>
        <w:rFonts w:hint="default" w:ascii="Times New Roman" w:hAnsi="Times New Roman" w:cs="Times New Roman"/>
      </w:rPr>
    </w:lvl>
    <w:lvl w:ilvl="2" w:tentative="0">
      <w:start w:val="1"/>
      <w:numFmt w:val="lowerRoman"/>
      <w:lvlText w:val="%3."/>
      <w:lvlJc w:val="right"/>
      <w:pPr>
        <w:ind w:left="2160" w:hanging="360"/>
      </w:pPr>
      <w:rPr>
        <w:rFonts w:hint="default" w:ascii="Times New Roman" w:hAnsi="Times New Roman" w:cs="Times New Roman"/>
      </w:rPr>
    </w:lvl>
    <w:lvl w:ilvl="3" w:tentative="0">
      <w:start w:val="1"/>
      <w:numFmt w:val="decimal"/>
      <w:lvlText w:val="%4."/>
      <w:lvlJc w:val="left"/>
      <w:pPr>
        <w:ind w:left="2880" w:hanging="360"/>
      </w:pPr>
      <w:rPr>
        <w:rFonts w:hint="default" w:ascii="Times New Roman" w:hAnsi="Times New Roman" w:cs="Times New Roman"/>
      </w:rPr>
    </w:lvl>
    <w:lvl w:ilvl="4" w:tentative="0">
      <w:start w:val="1"/>
      <w:numFmt w:val="lowerLetter"/>
      <w:lvlText w:val="%5."/>
      <w:lvlJc w:val="left"/>
      <w:pPr>
        <w:ind w:left="3600" w:hanging="360"/>
      </w:pPr>
      <w:rPr>
        <w:rFonts w:hint="default" w:ascii="Times New Roman" w:hAnsi="Times New Roman" w:cs="Times New Roman"/>
      </w:rPr>
    </w:lvl>
    <w:lvl w:ilvl="5" w:tentative="0">
      <w:start w:val="1"/>
      <w:numFmt w:val="lowerRoman"/>
      <w:lvlText w:val="%6."/>
      <w:lvlJc w:val="right"/>
      <w:pPr>
        <w:ind w:left="4320" w:hanging="360"/>
      </w:pPr>
      <w:rPr>
        <w:rFonts w:hint="default" w:ascii="Times New Roman" w:hAnsi="Times New Roman" w:cs="Times New Roman"/>
      </w:rPr>
    </w:lvl>
    <w:lvl w:ilvl="6" w:tentative="0">
      <w:start w:val="1"/>
      <w:numFmt w:val="decimal"/>
      <w:lvlText w:val="%7."/>
      <w:lvlJc w:val="left"/>
      <w:pPr>
        <w:ind w:left="5040" w:hanging="360"/>
      </w:pPr>
      <w:rPr>
        <w:rFonts w:hint="default" w:ascii="Times New Roman" w:hAnsi="Times New Roman" w:cs="Times New Roman"/>
      </w:rPr>
    </w:lvl>
    <w:lvl w:ilvl="7" w:tentative="0">
      <w:start w:val="1"/>
      <w:numFmt w:val="lowerLetter"/>
      <w:lvlText w:val="%8."/>
      <w:lvlJc w:val="left"/>
      <w:pPr>
        <w:ind w:left="5760" w:hanging="360"/>
      </w:pPr>
      <w:rPr>
        <w:rFonts w:hint="default" w:ascii="Times New Roman" w:hAnsi="Times New Roman" w:cs="Times New Roman"/>
      </w:rPr>
    </w:lvl>
    <w:lvl w:ilvl="8" w:tentative="0">
      <w:start w:val="1"/>
      <w:numFmt w:val="lowerRoman"/>
      <w:lvlText w:val="%9."/>
      <w:lvlJc w:val="right"/>
      <w:pPr>
        <w:ind w:left="6480" w:hanging="360"/>
      </w:pPr>
      <w:rPr>
        <w:rFonts w:hint="default" w:ascii="Times New Roman" w:hAnsi="Times New Roman" w:cs="Times New Roman"/>
      </w:rPr>
    </w:lvl>
  </w:abstractNum>
  <w:abstractNum w:abstractNumId="6">
    <w:nsid w:val="20521DA4"/>
    <w:multiLevelType w:val="multilevel"/>
    <w:tmpl w:val="20521DA4"/>
    <w:lvl w:ilvl="0" w:tentative="0">
      <w:start w:val="1"/>
      <w:numFmt w:val="decimal"/>
      <w:lvlText w:val="%1."/>
      <w:lvlJc w:val="left"/>
      <w:pPr>
        <w:ind w:left="720" w:hanging="360"/>
      </w:pPr>
      <w:rPr>
        <w:rFonts w:hint="default" w:ascii="Times New Roman" w:hAnsi="Times New Roman" w:cs="Times New Roman"/>
      </w:rPr>
    </w:lvl>
    <w:lvl w:ilvl="1" w:tentative="0">
      <w:start w:val="1"/>
      <w:numFmt w:val="lowerLetter"/>
      <w:lvlText w:val="%2."/>
      <w:lvlJc w:val="left"/>
      <w:pPr>
        <w:ind w:left="1440" w:hanging="360"/>
      </w:pPr>
      <w:rPr>
        <w:rFonts w:hint="default" w:ascii="Times New Roman" w:hAnsi="Times New Roman" w:cs="Times New Roman"/>
      </w:rPr>
    </w:lvl>
    <w:lvl w:ilvl="2" w:tentative="0">
      <w:start w:val="1"/>
      <w:numFmt w:val="lowerRoman"/>
      <w:lvlText w:val="%3."/>
      <w:lvlJc w:val="right"/>
      <w:pPr>
        <w:ind w:left="2160" w:hanging="360"/>
      </w:pPr>
      <w:rPr>
        <w:rFonts w:hint="default" w:ascii="Times New Roman" w:hAnsi="Times New Roman" w:cs="Times New Roman"/>
      </w:rPr>
    </w:lvl>
    <w:lvl w:ilvl="3" w:tentative="0">
      <w:start w:val="1"/>
      <w:numFmt w:val="decimal"/>
      <w:lvlText w:val="%4."/>
      <w:lvlJc w:val="left"/>
      <w:pPr>
        <w:ind w:left="2880" w:hanging="360"/>
      </w:pPr>
      <w:rPr>
        <w:rFonts w:hint="default" w:ascii="Times New Roman" w:hAnsi="Times New Roman" w:cs="Times New Roman"/>
      </w:rPr>
    </w:lvl>
    <w:lvl w:ilvl="4" w:tentative="0">
      <w:start w:val="1"/>
      <w:numFmt w:val="lowerLetter"/>
      <w:lvlText w:val="%5."/>
      <w:lvlJc w:val="left"/>
      <w:pPr>
        <w:ind w:left="3600" w:hanging="360"/>
      </w:pPr>
      <w:rPr>
        <w:rFonts w:hint="default" w:ascii="Times New Roman" w:hAnsi="Times New Roman" w:cs="Times New Roman"/>
      </w:rPr>
    </w:lvl>
    <w:lvl w:ilvl="5" w:tentative="0">
      <w:start w:val="1"/>
      <w:numFmt w:val="lowerRoman"/>
      <w:lvlText w:val="%6."/>
      <w:lvlJc w:val="right"/>
      <w:pPr>
        <w:ind w:left="4320" w:hanging="360"/>
      </w:pPr>
      <w:rPr>
        <w:rFonts w:hint="default" w:ascii="Times New Roman" w:hAnsi="Times New Roman" w:cs="Times New Roman"/>
      </w:rPr>
    </w:lvl>
    <w:lvl w:ilvl="6" w:tentative="0">
      <w:start w:val="1"/>
      <w:numFmt w:val="decimal"/>
      <w:lvlText w:val="%7."/>
      <w:lvlJc w:val="left"/>
      <w:pPr>
        <w:ind w:left="5040" w:hanging="360"/>
      </w:pPr>
      <w:rPr>
        <w:rFonts w:hint="default" w:ascii="Times New Roman" w:hAnsi="Times New Roman" w:cs="Times New Roman"/>
      </w:rPr>
    </w:lvl>
    <w:lvl w:ilvl="7" w:tentative="0">
      <w:start w:val="1"/>
      <w:numFmt w:val="lowerLetter"/>
      <w:lvlText w:val="%8."/>
      <w:lvlJc w:val="left"/>
      <w:pPr>
        <w:ind w:left="5760" w:hanging="360"/>
      </w:pPr>
      <w:rPr>
        <w:rFonts w:hint="default" w:ascii="Times New Roman" w:hAnsi="Times New Roman" w:cs="Times New Roman"/>
      </w:rPr>
    </w:lvl>
    <w:lvl w:ilvl="8" w:tentative="0">
      <w:start w:val="1"/>
      <w:numFmt w:val="lowerRoman"/>
      <w:lvlText w:val="%9."/>
      <w:lvlJc w:val="right"/>
      <w:pPr>
        <w:ind w:left="6480" w:hanging="360"/>
      </w:pPr>
      <w:rPr>
        <w:rFonts w:hint="default" w:ascii="Times New Roman" w:hAnsi="Times New Roman" w:cs="Times New Roman"/>
      </w:rPr>
    </w:lvl>
  </w:abstractNum>
  <w:abstractNum w:abstractNumId="7">
    <w:nsid w:val="34572F2C"/>
    <w:multiLevelType w:val="multilevel"/>
    <w:tmpl w:val="34572F2C"/>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8">
    <w:nsid w:val="35751A5A"/>
    <w:multiLevelType w:val="multilevel"/>
    <w:tmpl w:val="35751A5A"/>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9">
    <w:nsid w:val="36DA1224"/>
    <w:multiLevelType w:val="multilevel"/>
    <w:tmpl w:val="36DA1224"/>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0">
    <w:nsid w:val="5838159E"/>
    <w:multiLevelType w:val="multilevel"/>
    <w:tmpl w:val="5838159E"/>
    <w:lvl w:ilvl="0" w:tentative="0">
      <w:start w:val="1"/>
      <w:numFmt w:val="decimal"/>
      <w:lvlText w:val="%1."/>
      <w:lvlJc w:val="left"/>
      <w:pPr>
        <w:ind w:left="720" w:hanging="360"/>
      </w:pPr>
      <w:rPr>
        <w:rFonts w:hint="default" w:ascii="Times New Roman" w:hAnsi="Times New Roman" w:cs="Times New Roman"/>
      </w:rPr>
    </w:lvl>
    <w:lvl w:ilvl="1" w:tentative="0">
      <w:start w:val="1"/>
      <w:numFmt w:val="lowerLetter"/>
      <w:lvlText w:val="%2."/>
      <w:lvlJc w:val="left"/>
      <w:pPr>
        <w:ind w:left="1440" w:hanging="360"/>
      </w:pPr>
      <w:rPr>
        <w:rFonts w:hint="default" w:ascii="Times New Roman" w:hAnsi="Times New Roman" w:cs="Times New Roman"/>
      </w:rPr>
    </w:lvl>
    <w:lvl w:ilvl="2" w:tentative="0">
      <w:start w:val="1"/>
      <w:numFmt w:val="lowerRoman"/>
      <w:lvlText w:val="%3."/>
      <w:lvlJc w:val="right"/>
      <w:pPr>
        <w:ind w:left="2160" w:hanging="360"/>
      </w:pPr>
      <w:rPr>
        <w:rFonts w:hint="default" w:ascii="Times New Roman" w:hAnsi="Times New Roman" w:cs="Times New Roman"/>
      </w:rPr>
    </w:lvl>
    <w:lvl w:ilvl="3" w:tentative="0">
      <w:start w:val="1"/>
      <w:numFmt w:val="decimal"/>
      <w:lvlText w:val="%4."/>
      <w:lvlJc w:val="left"/>
      <w:pPr>
        <w:ind w:left="2880" w:hanging="360"/>
      </w:pPr>
      <w:rPr>
        <w:rFonts w:hint="default" w:ascii="Times New Roman" w:hAnsi="Times New Roman" w:cs="Times New Roman"/>
      </w:rPr>
    </w:lvl>
    <w:lvl w:ilvl="4" w:tentative="0">
      <w:start w:val="1"/>
      <w:numFmt w:val="lowerLetter"/>
      <w:lvlText w:val="%5."/>
      <w:lvlJc w:val="left"/>
      <w:pPr>
        <w:ind w:left="3600" w:hanging="360"/>
      </w:pPr>
      <w:rPr>
        <w:rFonts w:hint="default" w:ascii="Times New Roman" w:hAnsi="Times New Roman" w:cs="Times New Roman"/>
      </w:rPr>
    </w:lvl>
    <w:lvl w:ilvl="5" w:tentative="0">
      <w:start w:val="1"/>
      <w:numFmt w:val="lowerRoman"/>
      <w:lvlText w:val="%6."/>
      <w:lvlJc w:val="right"/>
      <w:pPr>
        <w:ind w:left="4320" w:hanging="360"/>
      </w:pPr>
      <w:rPr>
        <w:rFonts w:hint="default" w:ascii="Times New Roman" w:hAnsi="Times New Roman" w:cs="Times New Roman"/>
      </w:rPr>
    </w:lvl>
    <w:lvl w:ilvl="6" w:tentative="0">
      <w:start w:val="1"/>
      <w:numFmt w:val="decimal"/>
      <w:lvlText w:val="%7."/>
      <w:lvlJc w:val="left"/>
      <w:pPr>
        <w:ind w:left="5040" w:hanging="360"/>
      </w:pPr>
      <w:rPr>
        <w:rFonts w:hint="default" w:ascii="Times New Roman" w:hAnsi="Times New Roman" w:cs="Times New Roman"/>
      </w:rPr>
    </w:lvl>
    <w:lvl w:ilvl="7" w:tentative="0">
      <w:start w:val="1"/>
      <w:numFmt w:val="lowerLetter"/>
      <w:lvlText w:val="%8."/>
      <w:lvlJc w:val="left"/>
      <w:pPr>
        <w:ind w:left="5760" w:hanging="360"/>
      </w:pPr>
      <w:rPr>
        <w:rFonts w:hint="default" w:ascii="Times New Roman" w:hAnsi="Times New Roman" w:cs="Times New Roman"/>
      </w:rPr>
    </w:lvl>
    <w:lvl w:ilvl="8" w:tentative="0">
      <w:start w:val="1"/>
      <w:numFmt w:val="lowerRoman"/>
      <w:lvlText w:val="%9."/>
      <w:lvlJc w:val="right"/>
      <w:pPr>
        <w:ind w:left="6480" w:hanging="360"/>
      </w:pPr>
      <w:rPr>
        <w:rFonts w:hint="default" w:ascii="Times New Roman" w:hAnsi="Times New Roman" w:cs="Times New Roman"/>
      </w:rPr>
    </w:lvl>
  </w:abstractNum>
  <w:abstractNum w:abstractNumId="11">
    <w:nsid w:val="584F0602"/>
    <w:multiLevelType w:val="multilevel"/>
    <w:tmpl w:val="584F0602"/>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2">
    <w:nsid w:val="61024E25"/>
    <w:multiLevelType w:val="multilevel"/>
    <w:tmpl w:val="61024E25"/>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3">
    <w:nsid w:val="6458624E"/>
    <w:multiLevelType w:val="multilevel"/>
    <w:tmpl w:val="6458624E"/>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4">
    <w:nsid w:val="64A73293"/>
    <w:multiLevelType w:val="multilevel"/>
    <w:tmpl w:val="64A73293"/>
    <w:lvl w:ilvl="0" w:tentative="0">
      <w:start w:val="1"/>
      <w:numFmt w:val="decimal"/>
      <w:lvlText w:val="%1"/>
      <w:lvlJc w:val="left"/>
      <w:pPr>
        <w:ind w:left="720" w:hanging="360"/>
      </w:pPr>
      <w:rPr>
        <w:rFonts w:hint="default" w:ascii="Times New Roman" w:hAnsi="Times New Roman" w:cs="Times New Roman"/>
      </w:rPr>
    </w:lvl>
    <w:lvl w:ilvl="1" w:tentative="0">
      <w:start w:val="1"/>
      <w:numFmt w:val="decimal"/>
      <w:lvlText w:val="%1.%2."/>
      <w:lvlJc w:val="left"/>
      <w:pPr>
        <w:ind w:left="1440" w:hanging="360"/>
      </w:pPr>
      <w:rPr>
        <w:rFonts w:hint="default" w:ascii="Times New Roman" w:hAnsi="Times New Roman" w:cs="Times New Roman"/>
        <w:b/>
        <w:bCs/>
      </w:rPr>
    </w:lvl>
    <w:lvl w:ilvl="2" w:tentative="0">
      <w:start w:val="1"/>
      <w:numFmt w:val="decimal"/>
      <w:lvlText w:val="%3."/>
      <w:lvlJc w:val="left"/>
      <w:pPr>
        <w:ind w:left="2160" w:hanging="360"/>
      </w:pPr>
      <w:rPr>
        <w:rFonts w:hint="default" w:ascii="Times New Roman" w:hAnsi="Times New Roman" w:cs="Times New Roman"/>
      </w:rPr>
    </w:lvl>
    <w:lvl w:ilvl="3" w:tentative="0">
      <w:start w:val="0"/>
      <w:numFmt w:val="bullet"/>
      <w:lvlText w:val="•"/>
      <w:lvlJc w:val="left"/>
      <w:pPr>
        <w:ind w:left="2880" w:hanging="360"/>
      </w:pPr>
      <w:rPr>
        <w:rFonts w:hint="default" w:ascii="Times New Roman" w:hAnsi="Times New Roman" w:cs="Times New Roman"/>
      </w:rPr>
    </w:lvl>
    <w:lvl w:ilvl="4" w:tentative="0">
      <w:start w:val="0"/>
      <w:numFmt w:val="bullet"/>
      <w:lvlText w:val="•"/>
      <w:lvlJc w:val="left"/>
      <w:pPr>
        <w:ind w:left="3600" w:hanging="360"/>
      </w:pPr>
      <w:rPr>
        <w:rFonts w:hint="default" w:ascii="Times New Roman" w:hAnsi="Times New Roman" w:cs="Times New Roman"/>
      </w:rPr>
    </w:lvl>
    <w:lvl w:ilvl="5" w:tentative="0">
      <w:start w:val="0"/>
      <w:numFmt w:val="bullet"/>
      <w:lvlText w:val="•"/>
      <w:lvlJc w:val="left"/>
      <w:pPr>
        <w:ind w:left="4320" w:hanging="360"/>
      </w:pPr>
      <w:rPr>
        <w:rFonts w:hint="default" w:ascii="Times New Roman" w:hAnsi="Times New Roman" w:cs="Times New Roman"/>
      </w:rPr>
    </w:lvl>
    <w:lvl w:ilvl="6" w:tentative="0">
      <w:start w:val="0"/>
      <w:numFmt w:val="bullet"/>
      <w:lvlText w:val="•"/>
      <w:lvlJc w:val="left"/>
      <w:pPr>
        <w:ind w:left="5040" w:hanging="360"/>
      </w:pPr>
      <w:rPr>
        <w:rFonts w:hint="default" w:ascii="Times New Roman" w:hAnsi="Times New Roman" w:cs="Times New Roman"/>
      </w:rPr>
    </w:lvl>
    <w:lvl w:ilvl="7" w:tentative="0">
      <w:start w:val="0"/>
      <w:numFmt w:val="bullet"/>
      <w:lvlText w:val="•"/>
      <w:lvlJc w:val="left"/>
      <w:pPr>
        <w:ind w:left="5760" w:hanging="360"/>
      </w:pPr>
      <w:rPr>
        <w:rFonts w:hint="default" w:ascii="Times New Roman" w:hAnsi="Times New Roman" w:cs="Times New Roman"/>
      </w:rPr>
    </w:lvl>
    <w:lvl w:ilvl="8" w:tentative="0">
      <w:start w:val="0"/>
      <w:numFmt w:val="bullet"/>
      <w:lvlText w:val="•"/>
      <w:lvlJc w:val="left"/>
      <w:pPr>
        <w:ind w:left="6480" w:hanging="360"/>
      </w:pPr>
      <w:rPr>
        <w:rFonts w:hint="default" w:ascii="Times New Roman" w:hAnsi="Times New Roman" w:cs="Times New Roman"/>
      </w:rPr>
    </w:lvl>
  </w:abstractNum>
  <w:abstractNum w:abstractNumId="15">
    <w:nsid w:val="6EDA787A"/>
    <w:multiLevelType w:val="multilevel"/>
    <w:tmpl w:val="6EDA787A"/>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6">
    <w:nsid w:val="700E14EB"/>
    <w:multiLevelType w:val="multilevel"/>
    <w:tmpl w:val="700E14EB"/>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7">
    <w:nsid w:val="7C3D041B"/>
    <w:multiLevelType w:val="multilevel"/>
    <w:tmpl w:val="7C3D041B"/>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num w:numId="1">
    <w:abstractNumId w:val="8"/>
  </w:num>
  <w:num w:numId="2">
    <w:abstractNumId w:val="3"/>
  </w:num>
  <w:num w:numId="3">
    <w:abstractNumId w:val="15"/>
  </w:num>
  <w:num w:numId="4">
    <w:abstractNumId w:val="2"/>
  </w:num>
  <w:num w:numId="5">
    <w:abstractNumId w:val="1"/>
  </w:num>
  <w:num w:numId="6">
    <w:abstractNumId w:val="4"/>
  </w:num>
  <w:num w:numId="7">
    <w:abstractNumId w:val="14"/>
    <w:lvlOverride w:ilvl="0">
      <w:startOverride w:val="1"/>
    </w:lvlOverride>
    <w:lvlOverride w:ilvl="1">
      <w:startOverride w:val="1"/>
    </w:lvlOverride>
    <w:lvlOverride w:ilvl="2">
      <w:startOverride w:val="1"/>
    </w:lvlOverride>
  </w:num>
  <w:num w:numId="8">
    <w:abstractNumId w:val="12"/>
  </w:num>
  <w:num w:numId="9">
    <w:abstractNumId w:val="16"/>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3"/>
  </w:num>
  <w:num w:numId="12">
    <w:abstractNumId w:val="7"/>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7"/>
  </w:num>
  <w:num w:numId="15">
    <w:abstractNumId w:val="11"/>
  </w:num>
  <w:num w:numId="16">
    <w:abstractNumId w:val="9"/>
  </w:num>
  <w:num w:numId="17">
    <w:abstractNumId w:val="0"/>
  </w:num>
  <w:num w:numId="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9"/>
  <w:hideSpellingErrors/>
  <w:documentProtection w:enforcement="0"/>
  <w:defaultTabStop w:val="708"/>
  <w:noPunctuationKerning w:val="1"/>
  <w:characterSpacingControl w:val="doNotCompress"/>
  <w:footnotePr>
    <w:footnote w:id="0"/>
    <w:footnote w:id="1"/>
  </w:footnotePr>
  <w:endnotePr>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42C6"/>
    <w:rsid w:val="00025207"/>
    <w:rsid w:val="00094CCC"/>
    <w:rsid w:val="00101DD8"/>
    <w:rsid w:val="0016159A"/>
    <w:rsid w:val="0021146A"/>
    <w:rsid w:val="0023680B"/>
    <w:rsid w:val="002A7971"/>
    <w:rsid w:val="002D640B"/>
    <w:rsid w:val="002F4269"/>
    <w:rsid w:val="003C2D70"/>
    <w:rsid w:val="003E2A77"/>
    <w:rsid w:val="003F53E0"/>
    <w:rsid w:val="00415B69"/>
    <w:rsid w:val="0045657B"/>
    <w:rsid w:val="00463BEB"/>
    <w:rsid w:val="00476E94"/>
    <w:rsid w:val="00505E7A"/>
    <w:rsid w:val="005F0A31"/>
    <w:rsid w:val="006069BA"/>
    <w:rsid w:val="00630965"/>
    <w:rsid w:val="007D3ADA"/>
    <w:rsid w:val="007E0A01"/>
    <w:rsid w:val="007F360C"/>
    <w:rsid w:val="008557FB"/>
    <w:rsid w:val="00897003"/>
    <w:rsid w:val="009225D2"/>
    <w:rsid w:val="009327C6"/>
    <w:rsid w:val="009A0354"/>
    <w:rsid w:val="009F6CFD"/>
    <w:rsid w:val="00A20EF4"/>
    <w:rsid w:val="00B0597A"/>
    <w:rsid w:val="00B33356"/>
    <w:rsid w:val="00B34CD1"/>
    <w:rsid w:val="00B45EEE"/>
    <w:rsid w:val="00BB08CD"/>
    <w:rsid w:val="00BD6583"/>
    <w:rsid w:val="00C16279"/>
    <w:rsid w:val="00CA01E5"/>
    <w:rsid w:val="00CC3B6B"/>
    <w:rsid w:val="00D343F3"/>
    <w:rsid w:val="00D81B4C"/>
    <w:rsid w:val="00DE7772"/>
    <w:rsid w:val="00E042C6"/>
    <w:rsid w:val="00E0684F"/>
    <w:rsid w:val="00E13EBB"/>
    <w:rsid w:val="00E31C3B"/>
    <w:rsid w:val="00E7247B"/>
    <w:rsid w:val="00EB7A26"/>
    <w:rsid w:val="00F52F9B"/>
    <w:rsid w:val="00F9215C"/>
    <w:rsid w:val="061A159D"/>
    <w:rsid w:val="08A118B5"/>
    <w:rsid w:val="0B127851"/>
    <w:rsid w:val="0B8C227D"/>
    <w:rsid w:val="10534754"/>
    <w:rsid w:val="11DC205D"/>
    <w:rsid w:val="122946DB"/>
    <w:rsid w:val="122B7BDE"/>
    <w:rsid w:val="16516CA8"/>
    <w:rsid w:val="19744352"/>
    <w:rsid w:val="19E5590B"/>
    <w:rsid w:val="1D4726CE"/>
    <w:rsid w:val="1D5A0435"/>
    <w:rsid w:val="20D30C01"/>
    <w:rsid w:val="24A43F37"/>
    <w:rsid w:val="263962C5"/>
    <w:rsid w:val="2B35044C"/>
    <w:rsid w:val="2BA4397C"/>
    <w:rsid w:val="2BE55033"/>
    <w:rsid w:val="2CA37B48"/>
    <w:rsid w:val="2CA7654E"/>
    <w:rsid w:val="2DC8181A"/>
    <w:rsid w:val="301452F1"/>
    <w:rsid w:val="32075721"/>
    <w:rsid w:val="322865FC"/>
    <w:rsid w:val="32801B67"/>
    <w:rsid w:val="33082D45"/>
    <w:rsid w:val="36D9180C"/>
    <w:rsid w:val="37070105"/>
    <w:rsid w:val="381C6AC4"/>
    <w:rsid w:val="3B867491"/>
    <w:rsid w:val="40143986"/>
    <w:rsid w:val="42ED5B59"/>
    <w:rsid w:val="482452B1"/>
    <w:rsid w:val="49E05427"/>
    <w:rsid w:val="4C074AC8"/>
    <w:rsid w:val="4CAE3E1A"/>
    <w:rsid w:val="4D241A1C"/>
    <w:rsid w:val="4DC24835"/>
    <w:rsid w:val="4F6726AA"/>
    <w:rsid w:val="50BA02FE"/>
    <w:rsid w:val="51440262"/>
    <w:rsid w:val="51925DE3"/>
    <w:rsid w:val="538F7E27"/>
    <w:rsid w:val="562C70D5"/>
    <w:rsid w:val="56E83021"/>
    <w:rsid w:val="585C6786"/>
    <w:rsid w:val="5CE110EE"/>
    <w:rsid w:val="5D187049"/>
    <w:rsid w:val="5D8E4A8A"/>
    <w:rsid w:val="5DF32230"/>
    <w:rsid w:val="5DF631B4"/>
    <w:rsid w:val="5E4951BD"/>
    <w:rsid w:val="5E695F0B"/>
    <w:rsid w:val="5EB94577"/>
    <w:rsid w:val="5F4408D8"/>
    <w:rsid w:val="63436BE9"/>
    <w:rsid w:val="66143184"/>
    <w:rsid w:val="66D01339"/>
    <w:rsid w:val="67904923"/>
    <w:rsid w:val="67B01CAC"/>
    <w:rsid w:val="687916F5"/>
    <w:rsid w:val="69023BD7"/>
    <w:rsid w:val="69D750BF"/>
    <w:rsid w:val="6A82754B"/>
    <w:rsid w:val="6AE80968"/>
    <w:rsid w:val="6D3E4E45"/>
    <w:rsid w:val="719C3171"/>
    <w:rsid w:val="770551D1"/>
    <w:rsid w:val="78F80E84"/>
    <w:rsid w:val="7A9B7337"/>
    <w:rsid w:val="7AB166C2"/>
    <w:rsid w:val="7AC7547F"/>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iPriority="99" w:semiHidden="0" w:name="Table Grid"/>
    <w:lsdException w:uiPriority="99" w:name="Table Theme"/>
    <w:lsdException w:qFormat="1" w:unhideWhenUsed="0" w:uiPriority="34" w:semiHidden="0" w:name="List Paragraph"/>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ru-RU" w:eastAsia="en-US" w:bidi="ar-SA"/>
    </w:rPr>
  </w:style>
  <w:style w:type="paragraph" w:styleId="2">
    <w:name w:val="heading 1"/>
    <w:basedOn w:val="1"/>
    <w:link w:val="14"/>
    <w:qFormat/>
    <w:uiPriority w:val="99"/>
    <w:pPr>
      <w:widowControl w:val="0"/>
      <w:autoSpaceDE w:val="0"/>
      <w:autoSpaceDN w:val="0"/>
      <w:spacing w:before="100" w:beforeAutospacing="1" w:after="100" w:afterAutospacing="1" w:line="240" w:lineRule="auto"/>
      <w:jc w:val="both"/>
      <w:outlineLvl w:val="0"/>
    </w:pPr>
    <w:rPr>
      <w:rFonts w:ascii="Times New Roman" w:hAnsi="Times New Roman" w:eastAsia="Times New Roman" w:cs="Times New Roman"/>
      <w:b/>
      <w:bCs/>
      <w:sz w:val="24"/>
      <w:szCs w:val="24"/>
      <w:lang w:eastAsia="ru-RU"/>
    </w:rPr>
  </w:style>
  <w:style w:type="paragraph" w:styleId="3">
    <w:name w:val="heading 2"/>
    <w:basedOn w:val="1"/>
    <w:next w:val="1"/>
    <w:link w:val="15"/>
    <w:qFormat/>
    <w:uiPriority w:val="99"/>
    <w:pPr>
      <w:keepNext/>
      <w:keepLines/>
      <w:widowControl w:val="0"/>
      <w:autoSpaceDE w:val="0"/>
      <w:autoSpaceDN w:val="0"/>
      <w:spacing w:before="100" w:beforeAutospacing="1" w:after="100" w:afterAutospacing="1" w:line="240" w:lineRule="auto"/>
      <w:outlineLvl w:val="1"/>
    </w:pPr>
    <w:rPr>
      <w:rFonts w:ascii="Times New Roman" w:hAnsi="Times New Roman" w:eastAsia="等线 Light" w:cs="Times New Roman"/>
      <w:color w:val="2E75B5"/>
      <w:sz w:val="24"/>
      <w:szCs w:val="24"/>
      <w:lang w:eastAsia="ru-RU"/>
    </w:rPr>
  </w:style>
  <w:style w:type="character" w:default="1" w:styleId="4">
    <w:name w:val="Default Paragraph Font"/>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character" w:styleId="6">
    <w:name w:val="FollowedHyperlink"/>
    <w:basedOn w:val="4"/>
    <w:unhideWhenUsed/>
    <w:qFormat/>
    <w:uiPriority w:val="99"/>
    <w:rPr>
      <w:color w:val="800080"/>
      <w:u w:val="single"/>
    </w:rPr>
  </w:style>
  <w:style w:type="character" w:styleId="7">
    <w:name w:val="Hyperlink"/>
    <w:basedOn w:val="4"/>
    <w:unhideWhenUsed/>
    <w:qFormat/>
    <w:uiPriority w:val="99"/>
    <w:rPr>
      <w:color w:val="0000FF"/>
      <w:u w:val="single"/>
    </w:rPr>
  </w:style>
  <w:style w:type="character" w:styleId="8">
    <w:name w:val="Strong"/>
    <w:basedOn w:val="4"/>
    <w:qFormat/>
    <w:uiPriority w:val="22"/>
    <w:rPr>
      <w:b/>
      <w:bCs/>
    </w:rPr>
  </w:style>
  <w:style w:type="paragraph" w:styleId="9">
    <w:name w:val="header"/>
    <w:basedOn w:val="1"/>
    <w:semiHidden/>
    <w:unhideWhenUsed/>
    <w:qFormat/>
    <w:uiPriority w:val="99"/>
    <w:pPr>
      <w:tabs>
        <w:tab w:val="center" w:pos="4153"/>
        <w:tab w:val="right" w:pos="8306"/>
      </w:tabs>
    </w:pPr>
  </w:style>
  <w:style w:type="paragraph" w:styleId="10">
    <w:name w:val="Body Text"/>
    <w:basedOn w:val="1"/>
    <w:link w:val="17"/>
    <w:unhideWhenUsed/>
    <w:qFormat/>
    <w:uiPriority w:val="99"/>
    <w:pPr>
      <w:widowControl w:val="0"/>
      <w:autoSpaceDE w:val="0"/>
      <w:autoSpaceDN w:val="0"/>
      <w:spacing w:before="100" w:beforeAutospacing="1" w:after="100" w:afterAutospacing="1" w:line="240" w:lineRule="auto"/>
      <w:jc w:val="both"/>
    </w:pPr>
    <w:rPr>
      <w:rFonts w:ascii="Times New Roman" w:hAnsi="Times New Roman" w:eastAsia="Times New Roman" w:cs="Times New Roman"/>
      <w:sz w:val="24"/>
      <w:szCs w:val="24"/>
      <w:lang w:eastAsia="ru-RU"/>
    </w:rPr>
  </w:style>
  <w:style w:type="paragraph" w:styleId="11">
    <w:name w:val="footer"/>
    <w:basedOn w:val="1"/>
    <w:semiHidden/>
    <w:unhideWhenUsed/>
    <w:qFormat/>
    <w:uiPriority w:val="99"/>
    <w:pPr>
      <w:tabs>
        <w:tab w:val="center" w:pos="4153"/>
        <w:tab w:val="right" w:pos="8306"/>
      </w:tabs>
    </w:pPr>
  </w:style>
  <w:style w:type="paragraph" w:styleId="12">
    <w:name w:val="Normal (Web)"/>
    <w:basedOn w:val="1"/>
    <w:semiHidden/>
    <w:unhideWhenUsed/>
    <w:qFormat/>
    <w:uiPriority w:val="99"/>
    <w:pPr>
      <w:spacing w:before="100" w:beforeAutospacing="1" w:after="100" w:afterAutospacing="1" w:line="240" w:lineRule="auto"/>
    </w:pPr>
    <w:rPr>
      <w:rFonts w:ascii="Times New Roman" w:hAnsi="Times New Roman" w:eastAsia="Times New Roman" w:cs="Times New Roman"/>
      <w:sz w:val="24"/>
      <w:szCs w:val="24"/>
      <w:lang w:eastAsia="ru-RU"/>
    </w:rPr>
  </w:style>
  <w:style w:type="table" w:styleId="13">
    <w:name w:val="Table Grid"/>
    <w:basedOn w:val="5"/>
    <w:unhideWhenUsed/>
    <w:qFormat/>
    <w:uiPriority w:val="99"/>
    <w:pPr>
      <w:widowControl w:val="0"/>
      <w:autoSpaceDE w:val="0"/>
      <w:autoSpaceDN w:val="0"/>
      <w:spacing w:before="100" w:beforeAutospacing="1" w:after="100" w:afterAutospacing="1" w:line="254" w:lineRule="auto"/>
    </w:pPr>
    <w:rPr>
      <w:rFonts w:eastAsia="Times New Roman"/>
      <w:lang w:val="en-US"/>
    </w:rPr>
    <w:tblPr>
      <w:tblCellMar>
        <w:left w:w="0" w:type="dxa"/>
        <w:right w:w="0" w:type="dxa"/>
      </w:tblCellMar>
    </w:tblPr>
  </w:style>
  <w:style w:type="character" w:customStyle="1" w:styleId="14">
    <w:name w:val="Заголовок 1 Знак"/>
    <w:basedOn w:val="4"/>
    <w:link w:val="2"/>
    <w:qFormat/>
    <w:uiPriority w:val="99"/>
    <w:rPr>
      <w:rFonts w:ascii="Times New Roman" w:hAnsi="Times New Roman" w:eastAsia="Times New Roman" w:cs="Times New Roman"/>
      <w:b/>
      <w:bCs/>
      <w:sz w:val="24"/>
      <w:szCs w:val="24"/>
      <w:lang w:eastAsia="ru-RU"/>
    </w:rPr>
  </w:style>
  <w:style w:type="character" w:customStyle="1" w:styleId="15">
    <w:name w:val="Заголовок 2 Знак"/>
    <w:basedOn w:val="4"/>
    <w:link w:val="3"/>
    <w:qFormat/>
    <w:uiPriority w:val="99"/>
    <w:rPr>
      <w:rFonts w:ascii="Times New Roman" w:hAnsi="Times New Roman" w:eastAsia="等线 Light" w:cs="Times New Roman"/>
      <w:color w:val="2E75B5"/>
      <w:sz w:val="24"/>
      <w:szCs w:val="24"/>
      <w:lang w:eastAsia="ru-RU"/>
    </w:rPr>
  </w:style>
  <w:style w:type="paragraph" w:customStyle="1" w:styleId="16">
    <w:name w:val="msonormal"/>
    <w:basedOn w:val="1"/>
    <w:qFormat/>
    <w:uiPriority w:val="0"/>
    <w:pPr>
      <w:spacing w:before="100" w:beforeAutospacing="1" w:after="100" w:afterAutospacing="1" w:line="240" w:lineRule="auto"/>
    </w:pPr>
    <w:rPr>
      <w:rFonts w:ascii="Times New Roman" w:hAnsi="Times New Roman" w:eastAsia="Times New Roman" w:cs="Times New Roman"/>
      <w:sz w:val="24"/>
      <w:szCs w:val="24"/>
      <w:lang w:eastAsia="ru-RU"/>
    </w:rPr>
  </w:style>
  <w:style w:type="character" w:customStyle="1" w:styleId="17">
    <w:name w:val="Основной текст Знак"/>
    <w:basedOn w:val="4"/>
    <w:link w:val="10"/>
    <w:qFormat/>
    <w:uiPriority w:val="99"/>
    <w:rPr>
      <w:rFonts w:ascii="Times New Roman" w:hAnsi="Times New Roman" w:eastAsia="Times New Roman" w:cs="Times New Roman"/>
      <w:sz w:val="24"/>
      <w:szCs w:val="24"/>
      <w:lang w:eastAsia="ru-RU"/>
    </w:rPr>
  </w:style>
  <w:style w:type="paragraph" w:customStyle="1" w:styleId="18">
    <w:name w:val="Table Paragraph"/>
    <w:basedOn w:val="1"/>
    <w:qFormat/>
    <w:uiPriority w:val="0"/>
    <w:pPr>
      <w:widowControl w:val="0"/>
      <w:autoSpaceDE w:val="0"/>
      <w:autoSpaceDN w:val="0"/>
      <w:spacing w:before="100" w:beforeAutospacing="1" w:after="100" w:afterAutospacing="1" w:line="240" w:lineRule="auto"/>
    </w:pPr>
    <w:rPr>
      <w:rFonts w:ascii="Times New Roman" w:hAnsi="Times New Roman" w:eastAsia="Times New Roman" w:cs="Times New Roman"/>
      <w:sz w:val="24"/>
      <w:szCs w:val="24"/>
      <w:lang w:eastAsia="ru-RU"/>
    </w:rPr>
  </w:style>
  <w:style w:type="paragraph" w:customStyle="1" w:styleId="19">
    <w:name w:val="List Paragraph1"/>
    <w:basedOn w:val="1"/>
    <w:qFormat/>
    <w:uiPriority w:val="0"/>
    <w:pPr>
      <w:widowControl w:val="0"/>
      <w:autoSpaceDE w:val="0"/>
      <w:autoSpaceDN w:val="0"/>
      <w:spacing w:before="100" w:beforeAutospacing="1" w:after="100" w:afterAutospacing="1" w:line="240" w:lineRule="auto"/>
      <w:jc w:val="both"/>
    </w:pPr>
    <w:rPr>
      <w:rFonts w:ascii="Times New Roman" w:hAnsi="Times New Roman" w:eastAsia="Times New Roman" w:cs="Times New Roman"/>
      <w:sz w:val="24"/>
      <w:szCs w:val="24"/>
      <w:lang w:eastAsia="ru-RU"/>
    </w:rPr>
  </w:style>
  <w:style w:type="character" w:customStyle="1" w:styleId="20">
    <w:name w:val="10"/>
    <w:basedOn w:val="4"/>
    <w:qFormat/>
    <w:uiPriority w:val="0"/>
    <w:rPr>
      <w:rFonts w:hint="default" w:ascii="Calibri" w:hAnsi="Calibri" w:cs="Calibri"/>
    </w:rPr>
  </w:style>
  <w:style w:type="character" w:customStyle="1" w:styleId="21">
    <w:name w:val="15"/>
    <w:basedOn w:val="4"/>
    <w:qFormat/>
    <w:uiPriority w:val="0"/>
    <w:rPr>
      <w:rFonts w:hint="default" w:ascii="Calibri" w:hAnsi="Calibri" w:cs="Calibri"/>
      <w:color w:val="0000FF"/>
      <w:u w:val="single"/>
    </w:rPr>
  </w:style>
  <w:style w:type="table" w:customStyle="1" w:styleId="22">
    <w:name w:val="Table Normal1"/>
    <w:basedOn w:val="5"/>
    <w:qFormat/>
    <w:uiPriority w:val="0"/>
    <w:pPr>
      <w:widowControl w:val="0"/>
      <w:autoSpaceDE w:val="0"/>
      <w:autoSpaceDN w:val="0"/>
    </w:pPr>
    <w:rPr>
      <w:rFonts w:eastAsia="Times New Roman"/>
      <w:lang w:val="en-US"/>
    </w:rPr>
    <w:tblPr>
      <w:tblCellMar>
        <w:left w:w="0" w:type="dxa"/>
        <w:right w:w="0" w:type="dxa"/>
      </w:tblCellMar>
    </w:tblPr>
  </w:style>
  <w:style w:type="paragraph" w:styleId="23">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9" Type="http://schemas.openxmlformats.org/officeDocument/2006/relationships/image" Target="media/image3.jpe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2" Type="http://schemas.openxmlformats.org/officeDocument/2006/relationships/fontTable" Target="fontTable.xml"/><Relationship Id="rId41" Type="http://schemas.openxmlformats.org/officeDocument/2006/relationships/numbering" Target="numbering.xml"/><Relationship Id="rId40" Type="http://schemas.openxmlformats.org/officeDocument/2006/relationships/customXml" Target="../customXml/item1.xml"/><Relationship Id="rId4" Type="http://schemas.openxmlformats.org/officeDocument/2006/relationships/endnotes" Target="endnotes.xml"/><Relationship Id="rId39" Type="http://schemas.openxmlformats.org/officeDocument/2006/relationships/image" Target="media/image33.jpeg"/><Relationship Id="rId38" Type="http://schemas.openxmlformats.org/officeDocument/2006/relationships/image" Target="media/image32.jpeg"/><Relationship Id="rId37" Type="http://schemas.openxmlformats.org/officeDocument/2006/relationships/image" Target="media/image31.png"/><Relationship Id="rId36" Type="http://schemas.openxmlformats.org/officeDocument/2006/relationships/image" Target="media/image30.png"/><Relationship Id="rId35" Type="http://schemas.openxmlformats.org/officeDocument/2006/relationships/image" Target="media/image29.jpeg"/><Relationship Id="rId34" Type="http://schemas.openxmlformats.org/officeDocument/2006/relationships/image" Target="media/image28.jpeg"/><Relationship Id="rId33" Type="http://schemas.openxmlformats.org/officeDocument/2006/relationships/image" Target="media/image27.jpeg"/><Relationship Id="rId32" Type="http://schemas.openxmlformats.org/officeDocument/2006/relationships/image" Target="media/image26.png"/><Relationship Id="rId31" Type="http://schemas.openxmlformats.org/officeDocument/2006/relationships/image" Target="media/image25.jpeg"/><Relationship Id="rId30" Type="http://schemas.openxmlformats.org/officeDocument/2006/relationships/image" Target="media/image24.jpeg"/><Relationship Id="rId3" Type="http://schemas.openxmlformats.org/officeDocument/2006/relationships/footnotes" Target="footnotes.xml"/><Relationship Id="rId29" Type="http://schemas.openxmlformats.org/officeDocument/2006/relationships/image" Target="media/image23.jpeg"/><Relationship Id="rId28" Type="http://schemas.openxmlformats.org/officeDocument/2006/relationships/image" Target="media/image22.jpeg"/><Relationship Id="rId27" Type="http://schemas.openxmlformats.org/officeDocument/2006/relationships/image" Target="media/image21.jpeg"/><Relationship Id="rId26" Type="http://schemas.openxmlformats.org/officeDocument/2006/relationships/image" Target="media/image20.jpeg"/><Relationship Id="rId25" Type="http://schemas.openxmlformats.org/officeDocument/2006/relationships/image" Target="media/image19.png"/><Relationship Id="rId24" Type="http://schemas.openxmlformats.org/officeDocument/2006/relationships/image" Target="media/image18.png"/><Relationship Id="rId23" Type="http://schemas.openxmlformats.org/officeDocument/2006/relationships/image" Target="media/image17.png"/><Relationship Id="rId22" Type="http://schemas.openxmlformats.org/officeDocument/2006/relationships/image" Target="media/image16.png"/><Relationship Id="rId21" Type="http://schemas.openxmlformats.org/officeDocument/2006/relationships/image" Target="media/image15.png"/><Relationship Id="rId20" Type="http://schemas.openxmlformats.org/officeDocument/2006/relationships/image" Target="media/image14.png"/><Relationship Id="rId2" Type="http://schemas.openxmlformats.org/officeDocument/2006/relationships/settings" Target="settings.xml"/><Relationship Id="rId19" Type="http://schemas.openxmlformats.org/officeDocument/2006/relationships/image" Target="media/image13.png"/><Relationship Id="rId18" Type="http://schemas.openxmlformats.org/officeDocument/2006/relationships/image" Target="media/image12.png"/><Relationship Id="rId17" Type="http://schemas.openxmlformats.org/officeDocument/2006/relationships/image" Target="media/image11.png"/><Relationship Id="rId16" Type="http://schemas.openxmlformats.org/officeDocument/2006/relationships/image" Target="media/image10.jpeg"/><Relationship Id="rId15" Type="http://schemas.openxmlformats.org/officeDocument/2006/relationships/image" Target="media/image9.png"/><Relationship Id="rId14" Type="http://schemas.openxmlformats.org/officeDocument/2006/relationships/image" Target="media/image8.jpeg"/><Relationship Id="rId13" Type="http://schemas.openxmlformats.org/officeDocument/2006/relationships/image" Target="media/image7.jpeg"/><Relationship Id="rId12" Type="http://schemas.openxmlformats.org/officeDocument/2006/relationships/image" Target="media/image6.jpeg"/><Relationship Id="rId11" Type="http://schemas.openxmlformats.org/officeDocument/2006/relationships/image" Target="media/image5.jpeg"/><Relationship Id="rId10" Type="http://schemas.openxmlformats.org/officeDocument/2006/relationships/image" Target="media/image4.jpeg"/><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HP Inc.</Company>
  <Pages>111</Pages>
  <Words>29002</Words>
  <Characters>165312</Characters>
  <Lines>1377</Lines>
  <Paragraphs>387</Paragraphs>
  <TotalTime>22</TotalTime>
  <ScaleCrop>false</ScaleCrop>
  <LinksUpToDate>false</LinksUpToDate>
  <CharactersWithSpaces>193927</CharactersWithSpaces>
  <Application>WPS Office_12.2.0.20795_F1E327BC-269C-435d-A152-05C5408002CA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2025-05-06T02:08:00Z</dcterms:created>
  <dc:creator>Пользователь</dc:creator>
  <cp:lastModifiedBy>kgmuuser</cp:lastModifiedBy>
  <dcterms:modified xsi:type="dcterms:W3CDTF">2025-05-06T13:29:17Z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1049-12.2.0.20795</vt:lpwstr>
  </property>
  <property fmtid="{D5CDD505-2E9C-101B-9397-08002B2CF9AE}" pid="3" name="ICV">
    <vt:lpwstr>A5D1E0ECD2BE4454A794057FD704D2ED_13</vt:lpwstr>
  </property>
</Properties>
</file>